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DEC88">
      <w:pPr>
        <w:spacing w:before="101" w:line="230" w:lineRule="auto"/>
        <w:rPr>
          <w:rFonts w:ascii="黑体" w:hAnsi="黑体" w:eastAsia="黑体" w:cs="黑体"/>
          <w:sz w:val="31"/>
          <w:szCs w:val="31"/>
        </w:rPr>
      </w:pPr>
      <w:bookmarkStart w:id="0" w:name="_GoBack"/>
      <w:bookmarkEnd w:id="0"/>
      <w:r>
        <w:rPr>
          <w:rFonts w:ascii="黑体" w:hAnsi="黑体" w:eastAsia="黑体" w:cs="黑体"/>
          <w:spacing w:val="-2"/>
          <w:sz w:val="31"/>
          <w:szCs w:val="31"/>
        </w:rPr>
        <w:t>附件1</w:t>
      </w:r>
    </w:p>
    <w:p w14:paraId="10F25F26">
      <w:pPr>
        <w:spacing w:line="271" w:lineRule="auto"/>
        <w:rPr>
          <w:rFonts w:ascii="Arial"/>
          <w:sz w:val="21"/>
        </w:rPr>
      </w:pPr>
    </w:p>
    <w:p w14:paraId="62FB698B">
      <w:pPr>
        <w:spacing w:line="271" w:lineRule="auto"/>
        <w:rPr>
          <w:rFonts w:ascii="Arial"/>
          <w:sz w:val="21"/>
        </w:rPr>
      </w:pPr>
    </w:p>
    <w:p w14:paraId="392F6540">
      <w:pPr>
        <w:spacing w:before="140" w:line="242" w:lineRule="auto"/>
        <w:ind w:left="464"/>
        <w:rPr>
          <w:rFonts w:ascii="宋体" w:hAnsi="宋体" w:eastAsia="宋体" w:cs="宋体"/>
          <w:sz w:val="43"/>
          <w:szCs w:val="43"/>
        </w:rPr>
      </w:pPr>
      <w:r>
        <w:rPr>
          <w:rFonts w:ascii="宋体" w:hAnsi="宋体" w:eastAsia="宋体" w:cs="宋体"/>
          <w:b/>
          <w:bCs/>
          <w:spacing w:val="3"/>
          <w:sz w:val="43"/>
          <w:szCs w:val="43"/>
        </w:rPr>
        <w:t>“创赢未来”2026创业大赛大连市选拔赛</w:t>
      </w:r>
    </w:p>
    <w:p w14:paraId="438E049B">
      <w:pPr>
        <w:spacing w:line="221" w:lineRule="auto"/>
        <w:ind w:left="3524"/>
        <w:rPr>
          <w:rFonts w:ascii="宋体" w:hAnsi="宋体" w:eastAsia="宋体" w:cs="宋体"/>
          <w:sz w:val="43"/>
          <w:szCs w:val="43"/>
        </w:rPr>
      </w:pPr>
      <w:r>
        <w:rPr>
          <w:rFonts w:ascii="宋体" w:hAnsi="宋体" w:eastAsia="宋体" w:cs="宋体"/>
          <w:b/>
          <w:bCs/>
          <w:spacing w:val="3"/>
          <w:sz w:val="43"/>
          <w:szCs w:val="43"/>
        </w:rPr>
        <w:t>工作方案</w:t>
      </w:r>
    </w:p>
    <w:p w14:paraId="5B5E6A72">
      <w:pPr>
        <w:spacing w:line="303" w:lineRule="auto"/>
        <w:rPr>
          <w:rFonts w:ascii="Arial"/>
          <w:sz w:val="21"/>
        </w:rPr>
      </w:pPr>
    </w:p>
    <w:p w14:paraId="4E82A491">
      <w:pPr>
        <w:spacing w:line="304" w:lineRule="auto"/>
        <w:rPr>
          <w:rFonts w:ascii="Arial"/>
          <w:sz w:val="21"/>
        </w:rPr>
      </w:pPr>
    </w:p>
    <w:p w14:paraId="672A0098">
      <w:pPr>
        <w:pStyle w:val="2"/>
        <w:spacing w:before="101" w:line="333" w:lineRule="auto"/>
        <w:ind w:right="62" w:firstLine="652"/>
        <w:jc w:val="both"/>
      </w:pPr>
      <w:r>
        <w:rPr>
          <w:spacing w:val="16"/>
        </w:rPr>
        <w:t>为深入贯彻党的二十大和二十届历次全会精神，落实党中</w:t>
      </w:r>
      <w:r>
        <w:rPr>
          <w:spacing w:val="5"/>
        </w:rPr>
        <w:t>央、国务院关于就业工作的决策部署，加大创业支持力</w:t>
      </w:r>
      <w:r>
        <w:rPr>
          <w:spacing w:val="4"/>
        </w:rPr>
        <w:t>度，增强</w:t>
      </w:r>
      <w:r>
        <w:rPr>
          <w:spacing w:val="5"/>
        </w:rPr>
        <w:t>创业带动就业效应，引导发展多种创业模式，激发</w:t>
      </w:r>
      <w:r>
        <w:rPr>
          <w:spacing w:val="4"/>
        </w:rPr>
        <w:t>全社会内生动</w:t>
      </w:r>
      <w:r>
        <w:rPr>
          <w:spacing w:val="5"/>
        </w:rPr>
        <w:t>力和创新活力，展示创业风采，支持创业实践，征集、选拔和推</w:t>
      </w:r>
      <w:r>
        <w:rPr>
          <w:spacing w:val="16"/>
        </w:rPr>
        <w:t>荐我市相关领域优秀创业企业和团队参与省级选拔赛，按照国</w:t>
      </w:r>
      <w:r>
        <w:rPr>
          <w:spacing w:val="8"/>
        </w:rPr>
        <w:t>家、省赛事相关要求，结合我市实际，特制定本工作方案。</w:t>
      </w:r>
    </w:p>
    <w:p w14:paraId="3531548C">
      <w:pPr>
        <w:spacing w:line="228" w:lineRule="auto"/>
        <w:ind w:left="637"/>
        <w:rPr>
          <w:rFonts w:ascii="黑体" w:hAnsi="黑体" w:eastAsia="黑体" w:cs="黑体"/>
          <w:sz w:val="31"/>
          <w:szCs w:val="31"/>
        </w:rPr>
      </w:pPr>
      <w:r>
        <w:rPr>
          <w:rFonts w:ascii="黑体" w:hAnsi="黑体" w:eastAsia="黑体" w:cs="黑体"/>
          <w:spacing w:val="7"/>
          <w:sz w:val="31"/>
          <w:szCs w:val="31"/>
        </w:rPr>
        <w:t>一、大赛主题</w:t>
      </w:r>
    </w:p>
    <w:p w14:paraId="444F7262">
      <w:pPr>
        <w:pStyle w:val="2"/>
        <w:spacing w:before="179" w:line="227" w:lineRule="auto"/>
        <w:ind w:left="639"/>
      </w:pPr>
      <w:r>
        <w:rPr>
          <w:spacing w:val="4"/>
        </w:rPr>
        <w:t>释放创业动能</w:t>
      </w:r>
      <w:r>
        <w:rPr>
          <w:spacing w:val="30"/>
        </w:rPr>
        <w:t xml:space="preserve">  </w:t>
      </w:r>
      <w:r>
        <w:rPr>
          <w:spacing w:val="4"/>
        </w:rPr>
        <w:t>圆梦出彩人生</w:t>
      </w:r>
    </w:p>
    <w:p w14:paraId="458A5C6D">
      <w:pPr>
        <w:pStyle w:val="2"/>
        <w:spacing w:before="178" w:line="227" w:lineRule="auto"/>
        <w:ind w:left="2868"/>
      </w:pPr>
      <w:r>
        <w:rPr>
          <w:spacing w:val="8"/>
        </w:rPr>
        <w:t>——汇聚英才兴辽 创享振兴未来</w:t>
      </w:r>
    </w:p>
    <w:p w14:paraId="663DED2A">
      <w:pPr>
        <w:spacing w:before="177" w:line="228" w:lineRule="auto"/>
        <w:ind w:left="637"/>
        <w:rPr>
          <w:rFonts w:ascii="黑体" w:hAnsi="黑体" w:eastAsia="黑体" w:cs="黑体"/>
          <w:sz w:val="31"/>
          <w:szCs w:val="31"/>
        </w:rPr>
      </w:pPr>
      <w:r>
        <w:rPr>
          <w:rFonts w:ascii="黑体" w:hAnsi="黑体" w:eastAsia="黑体" w:cs="黑体"/>
          <w:spacing w:val="7"/>
          <w:sz w:val="31"/>
          <w:szCs w:val="31"/>
        </w:rPr>
        <w:t>二、组织机构</w:t>
      </w:r>
    </w:p>
    <w:p w14:paraId="1DFE219A">
      <w:pPr>
        <w:spacing w:before="179" w:line="231" w:lineRule="auto"/>
        <w:ind w:left="657"/>
        <w:rPr>
          <w:rFonts w:ascii="楷体" w:hAnsi="楷体" w:eastAsia="楷体" w:cs="楷体"/>
          <w:sz w:val="31"/>
          <w:szCs w:val="31"/>
        </w:rPr>
      </w:pPr>
      <w:r>
        <w:rPr>
          <w:rFonts w:ascii="楷体" w:hAnsi="楷体" w:eastAsia="楷体" w:cs="楷体"/>
          <w:spacing w:val="6"/>
          <w:sz w:val="31"/>
          <w:szCs w:val="31"/>
        </w:rPr>
        <w:t>（一）主办及承办单位</w:t>
      </w:r>
    </w:p>
    <w:p w14:paraId="311EE052">
      <w:pPr>
        <w:pStyle w:val="2"/>
        <w:spacing w:before="172" w:line="333" w:lineRule="auto"/>
        <w:ind w:left="3" w:firstLine="645"/>
      </w:pPr>
      <w:r>
        <w:rPr>
          <w:spacing w:val="6"/>
        </w:rPr>
        <w:t>主办单位：大连市人力资源和社会保障局、大连市教育局、</w:t>
      </w:r>
      <w:r>
        <w:rPr>
          <w:spacing w:val="5"/>
        </w:rPr>
        <w:t>大连市科学技术局、大连市农业农村局、大连市</w:t>
      </w:r>
      <w:r>
        <w:rPr>
          <w:spacing w:val="4"/>
        </w:rPr>
        <w:t>退役军人事务局</w:t>
      </w:r>
    </w:p>
    <w:p w14:paraId="117CC057">
      <w:pPr>
        <w:pStyle w:val="2"/>
        <w:spacing w:before="3" w:line="226" w:lineRule="auto"/>
        <w:ind w:left="640"/>
      </w:pPr>
      <w:r>
        <w:rPr>
          <w:spacing w:val="8"/>
        </w:rPr>
        <w:t>承办单位：大连市就业和人才服务中心</w:t>
      </w:r>
    </w:p>
    <w:p w14:paraId="21B1F8D2">
      <w:pPr>
        <w:pStyle w:val="2"/>
        <w:spacing w:before="178" w:line="334" w:lineRule="auto"/>
        <w:ind w:left="17" w:right="66" w:firstLine="624"/>
      </w:pPr>
      <w:r>
        <w:rPr>
          <w:spacing w:val="4"/>
        </w:rPr>
        <w:t>协办单位：各区市县、先导区人力资源和社会保障局（社会</w:t>
      </w:r>
      <w:r>
        <w:rPr>
          <w:spacing w:val="3"/>
        </w:rPr>
        <w:t>管理局</w:t>
      </w:r>
      <w:r>
        <w:rPr>
          <w:spacing w:val="28"/>
        </w:rPr>
        <w:t>），</w:t>
      </w:r>
      <w:r>
        <w:rPr>
          <w:spacing w:val="3"/>
        </w:rPr>
        <w:t>公共就业服务机构</w:t>
      </w:r>
    </w:p>
    <w:p w14:paraId="097BBEE2">
      <w:pPr>
        <w:spacing w:line="232" w:lineRule="auto"/>
        <w:ind w:left="657"/>
        <w:rPr>
          <w:rFonts w:ascii="楷体" w:hAnsi="楷体" w:eastAsia="楷体" w:cs="楷体"/>
          <w:sz w:val="31"/>
          <w:szCs w:val="31"/>
        </w:rPr>
      </w:pPr>
      <w:r>
        <w:rPr>
          <w:rFonts w:ascii="楷体" w:hAnsi="楷体" w:eastAsia="楷体" w:cs="楷体"/>
          <w:spacing w:val="5"/>
          <w:sz w:val="31"/>
          <w:szCs w:val="31"/>
        </w:rPr>
        <w:t>（二）选拔赛组委会</w:t>
      </w:r>
    </w:p>
    <w:p w14:paraId="26D1A4B1">
      <w:pPr>
        <w:spacing w:line="232" w:lineRule="auto"/>
        <w:rPr>
          <w:rFonts w:ascii="楷体" w:hAnsi="楷体" w:eastAsia="楷体" w:cs="楷体"/>
          <w:sz w:val="31"/>
          <w:szCs w:val="31"/>
        </w:rPr>
        <w:sectPr>
          <w:footerReference r:id="rId5" w:type="default"/>
          <w:pgSz w:w="11900" w:h="16840"/>
          <w:pgMar w:top="1431" w:right="1410" w:bottom="1306" w:left="1607" w:header="0" w:footer="943" w:gutter="0"/>
          <w:cols w:space="720" w:num="1"/>
        </w:sectPr>
      </w:pPr>
    </w:p>
    <w:p w14:paraId="68C55B66">
      <w:pPr>
        <w:spacing w:line="247" w:lineRule="auto"/>
        <w:rPr>
          <w:rFonts w:ascii="Arial"/>
          <w:sz w:val="21"/>
        </w:rPr>
      </w:pPr>
    </w:p>
    <w:p w14:paraId="4224C84A">
      <w:pPr>
        <w:spacing w:line="247" w:lineRule="auto"/>
        <w:rPr>
          <w:rFonts w:ascii="Arial"/>
          <w:sz w:val="21"/>
        </w:rPr>
      </w:pPr>
    </w:p>
    <w:p w14:paraId="3C5E3195">
      <w:pPr>
        <w:spacing w:line="247" w:lineRule="auto"/>
        <w:rPr>
          <w:rFonts w:ascii="Arial"/>
          <w:sz w:val="21"/>
        </w:rPr>
      </w:pPr>
    </w:p>
    <w:p w14:paraId="2A86D2DF">
      <w:pPr>
        <w:pStyle w:val="2"/>
        <w:spacing w:before="101" w:line="333" w:lineRule="auto"/>
        <w:ind w:firstLine="645"/>
        <w:jc w:val="both"/>
      </w:pPr>
      <w:r>
        <w:rPr>
          <w:spacing w:val="7"/>
        </w:rPr>
        <w:t>成立“创赢未来</w:t>
      </w:r>
      <w:r>
        <w:rPr>
          <w:spacing w:val="-112"/>
        </w:rPr>
        <w:t xml:space="preserve"> </w:t>
      </w:r>
      <w:r>
        <w:rPr>
          <w:spacing w:val="7"/>
        </w:rPr>
        <w:t>”2026创业大赛大连市选拔赛组委会(</w:t>
      </w:r>
      <w:r>
        <w:rPr>
          <w:spacing w:val="6"/>
        </w:rPr>
        <w:t>以下</w:t>
      </w:r>
      <w:r>
        <w:rPr>
          <w:spacing w:val="5"/>
        </w:rPr>
        <w:t>简称“组委会</w:t>
      </w:r>
      <w:r>
        <w:rPr>
          <w:spacing w:val="-104"/>
        </w:rPr>
        <w:t xml:space="preserve"> </w:t>
      </w:r>
      <w:r>
        <w:rPr>
          <w:spacing w:val="5"/>
        </w:rPr>
        <w:t>”)，</w:t>
      </w:r>
      <w:r>
        <w:rPr>
          <w:spacing w:val="-84"/>
        </w:rPr>
        <w:t xml:space="preserve"> </w:t>
      </w:r>
      <w:r>
        <w:rPr>
          <w:spacing w:val="5"/>
        </w:rPr>
        <w:t>由大连市选拔赛主办单位组成，负责选拔赛</w:t>
      </w:r>
      <w:r>
        <w:rPr>
          <w:spacing w:val="-4"/>
        </w:rPr>
        <w:t>的组织领导。组委会下设办公室，具体负责选拔赛整体方案设计、</w:t>
      </w:r>
      <w:r>
        <w:rPr>
          <w:spacing w:val="4"/>
        </w:rPr>
        <w:t>统筹协调、组织实施、宣传发动、报名审核、赛事保障</w:t>
      </w:r>
      <w:r>
        <w:rPr>
          <w:spacing w:val="3"/>
        </w:rPr>
        <w:t>、创业典</w:t>
      </w:r>
      <w:r>
        <w:rPr>
          <w:spacing w:val="4"/>
        </w:rPr>
        <w:t>型的推荐宣传和政策扶持等工作。组委会办公室设在大</w:t>
      </w:r>
      <w:r>
        <w:rPr>
          <w:spacing w:val="3"/>
        </w:rPr>
        <w:t>连市就业</w:t>
      </w:r>
      <w:r>
        <w:rPr>
          <w:spacing w:val="5"/>
        </w:rPr>
        <w:t>和人才服务中心。</w:t>
      </w:r>
    </w:p>
    <w:p w14:paraId="5A94EE6A">
      <w:pPr>
        <w:spacing w:before="1" w:line="228" w:lineRule="auto"/>
        <w:ind w:left="658"/>
        <w:rPr>
          <w:rFonts w:ascii="楷体" w:hAnsi="楷体" w:eastAsia="楷体" w:cs="楷体"/>
          <w:sz w:val="31"/>
          <w:szCs w:val="31"/>
        </w:rPr>
      </w:pPr>
      <w:r>
        <w:rPr>
          <w:rFonts w:ascii="楷体" w:hAnsi="楷体" w:eastAsia="楷体" w:cs="楷体"/>
          <w:spacing w:val="5"/>
          <w:sz w:val="31"/>
          <w:szCs w:val="31"/>
        </w:rPr>
        <w:t>（三）评审委员会</w:t>
      </w:r>
    </w:p>
    <w:p w14:paraId="3D9488C9">
      <w:pPr>
        <w:pStyle w:val="2"/>
        <w:spacing w:before="177" w:line="333" w:lineRule="auto"/>
        <w:ind w:left="3" w:right="162" w:firstLine="659"/>
        <w:jc w:val="both"/>
      </w:pPr>
      <w:r>
        <w:rPr>
          <w:spacing w:val="9"/>
        </w:rPr>
        <w:t>为确保选拔赛评审工作公开、公平、公正，</w:t>
      </w:r>
      <w:r>
        <w:rPr>
          <w:spacing w:val="-64"/>
        </w:rPr>
        <w:t xml:space="preserve"> </w:t>
      </w:r>
      <w:r>
        <w:rPr>
          <w:spacing w:val="9"/>
        </w:rPr>
        <w:t>由组委会办公</w:t>
      </w:r>
      <w:r>
        <w:rPr>
          <w:spacing w:val="13"/>
        </w:rPr>
        <w:t>室邀请优秀创业指导专家组成选拔赛评审委员会。评审委员会</w:t>
      </w:r>
      <w:r>
        <w:rPr>
          <w:spacing w:val="7"/>
        </w:rPr>
        <w:t>对组委会负责，独立开展评审工作。</w:t>
      </w:r>
    </w:p>
    <w:p w14:paraId="0DFA0838">
      <w:pPr>
        <w:spacing w:before="7" w:line="229" w:lineRule="auto"/>
        <w:ind w:left="648"/>
        <w:rPr>
          <w:rFonts w:ascii="黑体" w:hAnsi="黑体" w:eastAsia="黑体" w:cs="黑体"/>
          <w:sz w:val="30"/>
          <w:szCs w:val="30"/>
        </w:rPr>
      </w:pPr>
      <w:r>
        <w:rPr>
          <w:rFonts w:ascii="黑体" w:hAnsi="黑体" w:eastAsia="黑体" w:cs="黑体"/>
          <w:spacing w:val="7"/>
          <w:sz w:val="30"/>
          <w:szCs w:val="30"/>
        </w:rPr>
        <w:t>三、赛制安排</w:t>
      </w:r>
    </w:p>
    <w:p w14:paraId="0124E480">
      <w:pPr>
        <w:pStyle w:val="2"/>
        <w:spacing w:before="178" w:line="334" w:lineRule="auto"/>
        <w:ind w:right="112" w:firstLine="645"/>
        <w:jc w:val="both"/>
      </w:pPr>
      <w:r>
        <w:rPr>
          <w:spacing w:val="4"/>
        </w:rPr>
        <w:t>大赛采用“4+1</w:t>
      </w:r>
      <w:r>
        <w:rPr>
          <w:spacing w:val="-92"/>
        </w:rPr>
        <w:t xml:space="preserve"> </w:t>
      </w:r>
      <w:r>
        <w:rPr>
          <w:spacing w:val="4"/>
        </w:rPr>
        <w:t>”模式，即：4</w:t>
      </w:r>
      <w:r>
        <w:rPr>
          <w:spacing w:val="-52"/>
        </w:rPr>
        <w:t xml:space="preserve"> </w:t>
      </w:r>
      <w:r>
        <w:rPr>
          <w:spacing w:val="4"/>
        </w:rPr>
        <w:t>个主体赛+1</w:t>
      </w:r>
      <w:r>
        <w:rPr>
          <w:spacing w:val="-50"/>
        </w:rPr>
        <w:t xml:space="preserve"> </w:t>
      </w:r>
      <w:r>
        <w:rPr>
          <w:spacing w:val="4"/>
        </w:rPr>
        <w:t>个专项赛。主体</w:t>
      </w:r>
      <w:r>
        <w:rPr>
          <w:spacing w:val="6"/>
        </w:rPr>
        <w:t>赛围绕“科技成果+创业、产业发展+创业、职业技能+创业、</w:t>
      </w:r>
      <w:r>
        <w:rPr>
          <w:spacing w:val="-75"/>
        </w:rPr>
        <w:t xml:space="preserve"> </w:t>
      </w:r>
      <w:r>
        <w:rPr>
          <w:spacing w:val="6"/>
        </w:rPr>
        <w:t>民生需求+创业</w:t>
      </w:r>
      <w:r>
        <w:rPr>
          <w:spacing w:val="-109"/>
        </w:rPr>
        <w:t xml:space="preserve"> </w:t>
      </w:r>
      <w:r>
        <w:rPr>
          <w:spacing w:val="6"/>
        </w:rPr>
        <w:t>”四种创业模式，设立</w:t>
      </w:r>
      <w:r>
        <w:rPr>
          <w:spacing w:val="-65"/>
        </w:rPr>
        <w:t xml:space="preserve"> </w:t>
      </w:r>
      <w:r>
        <w:rPr>
          <w:spacing w:val="6"/>
        </w:rPr>
        <w:t>4</w:t>
      </w:r>
      <w:r>
        <w:rPr>
          <w:spacing w:val="-52"/>
        </w:rPr>
        <w:t xml:space="preserve"> </w:t>
      </w:r>
      <w:r>
        <w:rPr>
          <w:spacing w:val="6"/>
        </w:rPr>
        <w:t>个赛道；专项赛为青年创</w:t>
      </w:r>
      <w:r>
        <w:rPr>
          <w:spacing w:val="3"/>
        </w:rPr>
        <w:t>新专项赛。</w:t>
      </w:r>
    </w:p>
    <w:p w14:paraId="084821A5">
      <w:pPr>
        <w:spacing w:line="232" w:lineRule="auto"/>
        <w:ind w:left="658"/>
        <w:rPr>
          <w:rFonts w:ascii="楷体" w:hAnsi="楷体" w:eastAsia="楷体" w:cs="楷体"/>
          <w:sz w:val="31"/>
          <w:szCs w:val="31"/>
        </w:rPr>
      </w:pPr>
      <w:r>
        <w:rPr>
          <w:rFonts w:ascii="楷体" w:hAnsi="楷体" w:eastAsia="楷体" w:cs="楷体"/>
          <w:spacing w:val="3"/>
          <w:sz w:val="31"/>
          <w:szCs w:val="31"/>
        </w:rPr>
        <w:t>（一）主体赛</w:t>
      </w:r>
    </w:p>
    <w:p w14:paraId="541CB5D1">
      <w:pPr>
        <w:pStyle w:val="2"/>
        <w:spacing w:before="169" w:line="228" w:lineRule="auto"/>
        <w:ind w:left="655"/>
      </w:pPr>
      <w:r>
        <w:rPr>
          <w:b/>
          <w:bCs/>
          <w:spacing w:val="2"/>
        </w:rPr>
        <w:t>1.科技成果</w:t>
      </w:r>
      <w:r>
        <w:rPr>
          <w:rFonts w:ascii="Times New Roman" w:hAnsi="Times New Roman" w:eastAsia="Times New Roman" w:cs="Times New Roman"/>
          <w:b/>
          <w:bCs/>
          <w:spacing w:val="2"/>
        </w:rPr>
        <w:t>+</w:t>
      </w:r>
      <w:r>
        <w:rPr>
          <w:b/>
          <w:bCs/>
          <w:spacing w:val="2"/>
        </w:rPr>
        <w:t>创业</w:t>
      </w:r>
    </w:p>
    <w:p w14:paraId="0595DE01">
      <w:pPr>
        <w:pStyle w:val="2"/>
        <w:spacing w:before="176" w:line="334" w:lineRule="auto"/>
        <w:ind w:right="74" w:firstLine="674"/>
        <w:jc w:val="both"/>
      </w:pPr>
      <w:r>
        <w:rPr>
          <w:spacing w:val="3"/>
        </w:rPr>
        <w:t>以催生新质生产力，加强原始创新和关键核心技术攻关为核</w:t>
      </w:r>
      <w:r>
        <w:rPr>
          <w:spacing w:val="5"/>
        </w:rPr>
        <w:t>心目标，面向由高校、科研院所、企业及机构自主研发，</w:t>
      </w:r>
      <w:r>
        <w:rPr>
          <w:spacing w:val="4"/>
        </w:rPr>
        <w:t>兼具突</w:t>
      </w:r>
      <w:r>
        <w:rPr>
          <w:spacing w:val="5"/>
        </w:rPr>
        <w:t>破性和引领性的前沿科技成果，推动其从实验室推向</w:t>
      </w:r>
      <w:r>
        <w:rPr>
          <w:spacing w:val="4"/>
        </w:rPr>
        <w:t>市场、实现</w:t>
      </w:r>
      <w:r>
        <w:rPr>
          <w:spacing w:val="5"/>
        </w:rPr>
        <w:t>产业化落地应用与商业化价值转化，以科技创新为核心导</w:t>
      </w:r>
      <w:r>
        <w:rPr>
          <w:spacing w:val="4"/>
        </w:rPr>
        <w:t>向的技</w:t>
      </w:r>
      <w:r>
        <w:rPr>
          <w:spacing w:val="6"/>
        </w:rPr>
        <w:t>术创新型创业项目。</w:t>
      </w:r>
    </w:p>
    <w:p w14:paraId="2BE24D85">
      <w:pPr>
        <w:spacing w:line="334" w:lineRule="auto"/>
        <w:sectPr>
          <w:footerReference r:id="rId6" w:type="default"/>
          <w:pgSz w:w="11900" w:h="16840"/>
          <w:pgMar w:top="1431" w:right="1400" w:bottom="1306" w:left="1606" w:header="0" w:footer="941" w:gutter="0"/>
          <w:cols w:space="720" w:num="1"/>
        </w:sectPr>
      </w:pPr>
    </w:p>
    <w:p w14:paraId="46188E09">
      <w:pPr>
        <w:spacing w:line="245" w:lineRule="auto"/>
        <w:rPr>
          <w:rFonts w:ascii="Arial"/>
          <w:sz w:val="21"/>
        </w:rPr>
      </w:pPr>
    </w:p>
    <w:p w14:paraId="69DCA067">
      <w:pPr>
        <w:spacing w:line="246" w:lineRule="auto"/>
        <w:rPr>
          <w:rFonts w:ascii="Arial"/>
          <w:sz w:val="21"/>
        </w:rPr>
      </w:pPr>
    </w:p>
    <w:p w14:paraId="6936FE10">
      <w:pPr>
        <w:spacing w:line="246" w:lineRule="auto"/>
        <w:rPr>
          <w:rFonts w:ascii="Arial"/>
          <w:sz w:val="21"/>
        </w:rPr>
      </w:pPr>
    </w:p>
    <w:p w14:paraId="5CECCA4A">
      <w:pPr>
        <w:pStyle w:val="2"/>
        <w:spacing w:before="100" w:line="229" w:lineRule="auto"/>
        <w:ind w:left="635"/>
      </w:pPr>
      <w:r>
        <w:rPr>
          <w:b/>
          <w:bCs/>
          <w:spacing w:val="4"/>
        </w:rPr>
        <w:t>2.产业发展</w:t>
      </w:r>
      <w:r>
        <w:rPr>
          <w:rFonts w:ascii="Times New Roman" w:hAnsi="Times New Roman" w:eastAsia="Times New Roman" w:cs="Times New Roman"/>
          <w:b/>
          <w:bCs/>
          <w:spacing w:val="4"/>
        </w:rPr>
        <w:t>+</w:t>
      </w:r>
      <w:r>
        <w:rPr>
          <w:b/>
          <w:bCs/>
          <w:spacing w:val="4"/>
        </w:rPr>
        <w:t>创业</w:t>
      </w:r>
    </w:p>
    <w:p w14:paraId="7BA10171">
      <w:pPr>
        <w:pStyle w:val="2"/>
        <w:spacing w:before="168" w:line="334" w:lineRule="auto"/>
        <w:ind w:right="23" w:firstLine="674"/>
        <w:jc w:val="both"/>
      </w:pPr>
      <w:r>
        <w:rPr>
          <w:spacing w:val="3"/>
        </w:rPr>
        <w:t>以优化提升传统产业，培育壮大新兴产业和未来产业为核心目标，面向辽宁特色的“2211</w:t>
      </w:r>
      <w:r>
        <w:rPr>
          <w:spacing w:val="-109"/>
        </w:rPr>
        <w:t xml:space="preserve"> </w:t>
      </w:r>
      <w:r>
        <w:rPr>
          <w:spacing w:val="3"/>
        </w:rPr>
        <w:t>”产业体系及我市绿色石化、汽车</w:t>
      </w:r>
      <w:r>
        <w:rPr>
          <w:spacing w:val="5"/>
        </w:rPr>
        <w:t>及零部件、船舶与海工装备、特色装备制造等传统产业，</w:t>
      </w:r>
      <w:r>
        <w:rPr>
          <w:spacing w:val="4"/>
        </w:rPr>
        <w:t>新一代</w:t>
      </w:r>
      <w:r>
        <w:rPr>
          <w:spacing w:val="7"/>
        </w:rPr>
        <w:t>信息技术、洁净能源、低空经济等战略性新兴产业，信息服务、</w:t>
      </w:r>
      <w:r>
        <w:rPr>
          <w:spacing w:val="5"/>
        </w:rPr>
        <w:t>金融服务、物流服务等现代服务业产业等发展需求、</w:t>
      </w:r>
      <w:r>
        <w:rPr>
          <w:spacing w:val="4"/>
        </w:rPr>
        <w:t>赋能产业链</w:t>
      </w:r>
      <w:r>
        <w:rPr>
          <w:spacing w:val="5"/>
        </w:rPr>
        <w:t>上下游协同发展，聚焦产业转型升级、提质增效与模式创</w:t>
      </w:r>
      <w:r>
        <w:rPr>
          <w:spacing w:val="4"/>
        </w:rPr>
        <w:t>新，推</w:t>
      </w:r>
      <w:r>
        <w:rPr>
          <w:spacing w:val="5"/>
        </w:rPr>
        <w:t>动产业规模化、高端化、绿色化发展，助力产业价值</w:t>
      </w:r>
      <w:r>
        <w:rPr>
          <w:spacing w:val="4"/>
        </w:rPr>
        <w:t>提升与生态</w:t>
      </w:r>
      <w:r>
        <w:rPr>
          <w:spacing w:val="6"/>
        </w:rPr>
        <w:t>构建的创业项目。</w:t>
      </w:r>
    </w:p>
    <w:p w14:paraId="717009F6">
      <w:pPr>
        <w:pStyle w:val="2"/>
        <w:spacing w:line="227" w:lineRule="auto"/>
        <w:ind w:left="638"/>
      </w:pPr>
      <w:r>
        <w:rPr>
          <w:b/>
          <w:bCs/>
          <w:spacing w:val="4"/>
        </w:rPr>
        <w:t>3.职业技能</w:t>
      </w:r>
      <w:r>
        <w:rPr>
          <w:rFonts w:ascii="Times New Roman" w:hAnsi="Times New Roman" w:eastAsia="Times New Roman" w:cs="Times New Roman"/>
          <w:b/>
          <w:bCs/>
          <w:spacing w:val="4"/>
        </w:rPr>
        <w:t>+</w:t>
      </w:r>
      <w:r>
        <w:rPr>
          <w:b/>
          <w:bCs/>
          <w:spacing w:val="4"/>
        </w:rPr>
        <w:t>创业</w:t>
      </w:r>
    </w:p>
    <w:p w14:paraId="069B5BD9">
      <w:pPr>
        <w:pStyle w:val="2"/>
        <w:spacing w:before="174" w:line="334" w:lineRule="auto"/>
        <w:ind w:right="87" w:firstLine="674"/>
        <w:jc w:val="both"/>
      </w:pPr>
      <w:r>
        <w:rPr>
          <w:spacing w:val="1"/>
        </w:rPr>
        <w:t>以构建“创业驱动培训、培训提升技能、技能赋能创业</w:t>
      </w:r>
      <w:r>
        <w:rPr>
          <w:spacing w:val="-98"/>
        </w:rPr>
        <w:t xml:space="preserve"> </w:t>
      </w:r>
      <w:r>
        <w:rPr>
          <w:spacing w:val="1"/>
        </w:rPr>
        <w:t>”的</w:t>
      </w:r>
      <w:r>
        <w:rPr>
          <w:spacing w:val="5"/>
        </w:rPr>
        <w:t>良性闭环为核心目标，面向依托自身精湛专业技能或本地</w:t>
      </w:r>
      <w:r>
        <w:rPr>
          <w:spacing w:val="4"/>
        </w:rPr>
        <w:t>劳务品</w:t>
      </w:r>
      <w:r>
        <w:rPr>
          <w:spacing w:val="5"/>
        </w:rPr>
        <w:t>牌资源开展经营服务，或聚焦技能提升提供专业化培训，</w:t>
      </w:r>
      <w:r>
        <w:rPr>
          <w:spacing w:val="4"/>
        </w:rPr>
        <w:t>打造特</w:t>
      </w:r>
      <w:r>
        <w:rPr>
          <w:spacing w:val="5"/>
        </w:rPr>
        <w:t>色技能型服务品牌，以职业技能应用为核心导向的技能驱</w:t>
      </w:r>
      <w:r>
        <w:rPr>
          <w:spacing w:val="4"/>
        </w:rPr>
        <w:t>动型创</w:t>
      </w:r>
      <w:r>
        <w:rPr>
          <w:spacing w:val="2"/>
        </w:rPr>
        <w:t>业项目。</w:t>
      </w:r>
    </w:p>
    <w:p w14:paraId="6FD7DF66">
      <w:pPr>
        <w:pStyle w:val="2"/>
        <w:spacing w:before="1" w:line="227" w:lineRule="auto"/>
        <w:ind w:left="630"/>
      </w:pPr>
      <w:r>
        <w:rPr>
          <w:b/>
          <w:bCs/>
          <w:spacing w:val="-2"/>
        </w:rPr>
        <w:t>4.</w:t>
      </w:r>
      <w:r>
        <w:rPr>
          <w:spacing w:val="-92"/>
        </w:rPr>
        <w:t xml:space="preserve"> </w:t>
      </w:r>
      <w:r>
        <w:rPr>
          <w:b/>
          <w:bCs/>
          <w:spacing w:val="-2"/>
        </w:rPr>
        <w:t>民生需求</w:t>
      </w:r>
      <w:r>
        <w:rPr>
          <w:rFonts w:ascii="Times New Roman" w:hAnsi="Times New Roman" w:eastAsia="Times New Roman" w:cs="Times New Roman"/>
          <w:b/>
          <w:bCs/>
          <w:spacing w:val="-2"/>
        </w:rPr>
        <w:t>+</w:t>
      </w:r>
      <w:r>
        <w:rPr>
          <w:b/>
          <w:bCs/>
          <w:spacing w:val="-2"/>
        </w:rPr>
        <w:t>创业</w:t>
      </w:r>
    </w:p>
    <w:p w14:paraId="5E9B1BA9">
      <w:pPr>
        <w:pStyle w:val="2"/>
        <w:spacing w:before="178" w:line="333" w:lineRule="auto"/>
        <w:ind w:firstLine="674"/>
      </w:pPr>
      <w:r>
        <w:rPr>
          <w:spacing w:val="8"/>
        </w:rPr>
        <w:t>以扩大优质消费品和服务供给，激活消费新</w:t>
      </w:r>
      <w:r>
        <w:rPr>
          <w:spacing w:val="7"/>
        </w:rPr>
        <w:t>潜能为核心目</w:t>
      </w:r>
      <w:r>
        <w:rPr>
          <w:spacing w:val="5"/>
        </w:rPr>
        <w:t>标，面向衣食住行、医疗健康、教育养老、就业增收</w:t>
      </w:r>
      <w:r>
        <w:rPr>
          <w:spacing w:val="4"/>
        </w:rPr>
        <w:t>、文化旅游</w:t>
      </w:r>
      <w:r>
        <w:rPr>
          <w:spacing w:val="-3"/>
        </w:rPr>
        <w:t>等民生关切，通过创新生活服务消费场景、引领并带动消费升级，</w:t>
      </w:r>
      <w:r>
        <w:rPr>
          <w:spacing w:val="5"/>
        </w:rPr>
        <w:t>以提供便捷化、普惠化、品质化解决方案为导向，兼具民</w:t>
      </w:r>
      <w:r>
        <w:rPr>
          <w:spacing w:val="4"/>
        </w:rPr>
        <w:t>生服务</w:t>
      </w:r>
      <w:r>
        <w:rPr>
          <w:spacing w:val="7"/>
        </w:rPr>
        <w:t>属性与市场发展潜力的创业项目。</w:t>
      </w:r>
    </w:p>
    <w:p w14:paraId="62696EA0">
      <w:pPr>
        <w:spacing w:before="3" w:line="231" w:lineRule="auto"/>
        <w:ind w:left="658"/>
        <w:rPr>
          <w:rFonts w:ascii="楷体" w:hAnsi="楷体" w:eastAsia="楷体" w:cs="楷体"/>
          <w:sz w:val="31"/>
          <w:szCs w:val="31"/>
        </w:rPr>
      </w:pPr>
      <w:r>
        <w:rPr>
          <w:rFonts w:ascii="楷体" w:hAnsi="楷体" w:eastAsia="楷体" w:cs="楷体"/>
          <w:spacing w:val="6"/>
          <w:sz w:val="31"/>
          <w:szCs w:val="31"/>
        </w:rPr>
        <w:t>（二）青年创新专项赛</w:t>
      </w:r>
    </w:p>
    <w:p w14:paraId="2DE2E219">
      <w:pPr>
        <w:spacing w:line="231" w:lineRule="auto"/>
        <w:rPr>
          <w:rFonts w:ascii="楷体" w:hAnsi="楷体" w:eastAsia="楷体" w:cs="楷体"/>
          <w:sz w:val="31"/>
          <w:szCs w:val="31"/>
        </w:rPr>
        <w:sectPr>
          <w:footerReference r:id="rId7" w:type="default"/>
          <w:pgSz w:w="11900" w:h="16840"/>
          <w:pgMar w:top="1431" w:right="1386" w:bottom="1306" w:left="1606" w:header="0" w:footer="943" w:gutter="0"/>
          <w:cols w:space="720" w:num="1"/>
        </w:sectPr>
      </w:pPr>
    </w:p>
    <w:p w14:paraId="76A055F9">
      <w:pPr>
        <w:spacing w:line="246" w:lineRule="auto"/>
        <w:rPr>
          <w:rFonts w:ascii="Arial"/>
          <w:sz w:val="21"/>
        </w:rPr>
      </w:pPr>
    </w:p>
    <w:p w14:paraId="1E68DD27">
      <w:pPr>
        <w:spacing w:line="246" w:lineRule="auto"/>
        <w:rPr>
          <w:rFonts w:ascii="Arial"/>
          <w:sz w:val="21"/>
        </w:rPr>
      </w:pPr>
    </w:p>
    <w:p w14:paraId="6A40994B">
      <w:pPr>
        <w:spacing w:line="246" w:lineRule="auto"/>
        <w:rPr>
          <w:rFonts w:ascii="Arial"/>
          <w:sz w:val="21"/>
        </w:rPr>
      </w:pPr>
    </w:p>
    <w:p w14:paraId="4E374C96">
      <w:pPr>
        <w:pStyle w:val="2"/>
        <w:spacing w:before="101" w:line="333" w:lineRule="auto"/>
        <w:ind w:firstLine="650"/>
        <w:jc w:val="both"/>
      </w:pPr>
      <w:r>
        <w:rPr>
          <w:spacing w:val="6"/>
        </w:rPr>
        <w:t>面向以高校（包括技工院校、技师学院高级工班）在校生、</w:t>
      </w:r>
      <w:r>
        <w:rPr>
          <w:spacing w:val="4"/>
        </w:rPr>
        <w:t>毕业生为主的青年群体，年龄在</w:t>
      </w:r>
      <w:r>
        <w:rPr>
          <w:spacing w:val="-25"/>
        </w:rPr>
        <w:t xml:space="preserve"> </w:t>
      </w:r>
      <w:r>
        <w:rPr>
          <w:spacing w:val="4"/>
        </w:rPr>
        <w:t>16-35</w:t>
      </w:r>
      <w:r>
        <w:rPr>
          <w:spacing w:val="-46"/>
        </w:rPr>
        <w:t xml:space="preserve"> </w:t>
      </w:r>
      <w:r>
        <w:rPr>
          <w:spacing w:val="4"/>
        </w:rPr>
        <w:t>岁之间。项目类型不限，</w:t>
      </w:r>
      <w:r>
        <w:rPr>
          <w:spacing w:val="9"/>
        </w:rPr>
        <w:t>有技术、产品、模式等方面的创新成果及完整的商业</w:t>
      </w:r>
      <w:r>
        <w:rPr>
          <w:spacing w:val="8"/>
        </w:rPr>
        <w:t>计划书。</w:t>
      </w:r>
    </w:p>
    <w:p w14:paraId="40F2C887">
      <w:pPr>
        <w:spacing w:line="228" w:lineRule="auto"/>
        <w:ind w:left="654"/>
        <w:rPr>
          <w:rFonts w:ascii="黑体" w:hAnsi="黑体" w:eastAsia="黑体" w:cs="黑体"/>
          <w:sz w:val="31"/>
          <w:szCs w:val="31"/>
        </w:rPr>
      </w:pPr>
      <w:r>
        <w:rPr>
          <w:rFonts w:ascii="黑体" w:hAnsi="黑体" w:eastAsia="黑体" w:cs="黑体"/>
          <w:spacing w:val="4"/>
          <w:sz w:val="31"/>
          <w:szCs w:val="31"/>
        </w:rPr>
        <w:t>四、参赛条件</w:t>
      </w:r>
    </w:p>
    <w:p w14:paraId="3E6E7D2F">
      <w:pPr>
        <w:pStyle w:val="2"/>
        <w:spacing w:before="181" w:line="333" w:lineRule="auto"/>
        <w:ind w:left="2" w:firstLine="674"/>
        <w:jc w:val="both"/>
      </w:pPr>
      <w:r>
        <w:rPr>
          <w:spacing w:val="5"/>
        </w:rPr>
        <w:t>以上赛事，年满</w:t>
      </w:r>
      <w:r>
        <w:rPr>
          <w:spacing w:val="-37"/>
        </w:rPr>
        <w:t xml:space="preserve"> </w:t>
      </w:r>
      <w:r>
        <w:rPr>
          <w:spacing w:val="5"/>
        </w:rPr>
        <w:t>16</w:t>
      </w:r>
      <w:r>
        <w:rPr>
          <w:spacing w:val="-51"/>
        </w:rPr>
        <w:t xml:space="preserve"> </w:t>
      </w:r>
      <w:r>
        <w:rPr>
          <w:spacing w:val="5"/>
        </w:rPr>
        <w:t>周岁的各类创业群体均可报名参赛，项目所在地位于大连市内。参赛项目根据项目情况只能</w:t>
      </w:r>
      <w:r>
        <w:rPr>
          <w:spacing w:val="4"/>
        </w:rPr>
        <w:t>选择一个赛</w:t>
      </w:r>
      <w:r>
        <w:rPr>
          <w:spacing w:val="5"/>
        </w:rPr>
        <w:t>道报名参赛。有国资背景的项目不能参赛（参赛项目主体</w:t>
      </w:r>
      <w:r>
        <w:rPr>
          <w:spacing w:val="4"/>
        </w:rPr>
        <w:t>为国有</w:t>
      </w:r>
      <w:r>
        <w:rPr>
          <w:spacing w:val="5"/>
        </w:rPr>
        <w:t>独资企业、国有控股企业、国有实际控制企业、国资参股</w:t>
      </w:r>
      <w:r>
        <w:rPr>
          <w:spacing w:val="4"/>
        </w:rPr>
        <w:t>企业及</w:t>
      </w:r>
      <w:r>
        <w:rPr>
          <w:spacing w:val="6"/>
        </w:rPr>
        <w:t>其各级子公司，均属于国资背景项目</w:t>
      </w:r>
      <w:r>
        <w:rPr>
          <w:spacing w:val="23"/>
        </w:rPr>
        <w:t>），</w:t>
      </w:r>
      <w:r>
        <w:rPr>
          <w:spacing w:val="6"/>
        </w:rPr>
        <w:t>无任何国有资本控股、</w:t>
      </w:r>
      <w:r>
        <w:rPr>
          <w:spacing w:val="8"/>
        </w:rPr>
        <w:t>实际控制、参股及参与核心决策运营的项目可正常参赛。</w:t>
      </w:r>
    </w:p>
    <w:p w14:paraId="1BC2B8A3">
      <w:pPr>
        <w:spacing w:line="232" w:lineRule="auto"/>
        <w:ind w:left="661"/>
        <w:rPr>
          <w:rFonts w:ascii="楷体" w:hAnsi="楷体" w:eastAsia="楷体" w:cs="楷体"/>
          <w:sz w:val="31"/>
          <w:szCs w:val="31"/>
        </w:rPr>
      </w:pPr>
      <w:r>
        <w:rPr>
          <w:rFonts w:ascii="楷体" w:hAnsi="楷体" w:eastAsia="楷体" w:cs="楷体"/>
          <w:spacing w:val="3"/>
          <w:sz w:val="31"/>
          <w:szCs w:val="31"/>
        </w:rPr>
        <w:t>（一）主体赛</w:t>
      </w:r>
    </w:p>
    <w:p w14:paraId="7721E966">
      <w:pPr>
        <w:pStyle w:val="2"/>
        <w:spacing w:before="171" w:line="333" w:lineRule="auto"/>
        <w:ind w:left="13" w:right="66" w:firstLine="644"/>
      </w:pPr>
      <w:r>
        <w:rPr>
          <w:spacing w:val="-3"/>
        </w:rPr>
        <w:t>1.截至</w:t>
      </w:r>
      <w:r>
        <w:rPr>
          <w:spacing w:val="-57"/>
        </w:rPr>
        <w:t xml:space="preserve"> </w:t>
      </w:r>
      <w:r>
        <w:rPr>
          <w:spacing w:val="-3"/>
        </w:rPr>
        <w:t>2026</w:t>
      </w:r>
      <w:r>
        <w:rPr>
          <w:spacing w:val="-45"/>
        </w:rPr>
        <w:t xml:space="preserve"> </w:t>
      </w:r>
      <w:r>
        <w:rPr>
          <w:spacing w:val="-3"/>
        </w:rPr>
        <w:t>年</w:t>
      </w:r>
      <w:r>
        <w:rPr>
          <w:spacing w:val="-63"/>
        </w:rPr>
        <w:t xml:space="preserve"> </w:t>
      </w:r>
      <w:r>
        <w:rPr>
          <w:spacing w:val="-3"/>
        </w:rPr>
        <w:t>4</w:t>
      </w:r>
      <w:r>
        <w:rPr>
          <w:spacing w:val="-39"/>
        </w:rPr>
        <w:t xml:space="preserve"> </w:t>
      </w:r>
      <w:r>
        <w:rPr>
          <w:spacing w:val="-3"/>
        </w:rPr>
        <w:t>月</w:t>
      </w:r>
      <w:r>
        <w:rPr>
          <w:spacing w:val="-56"/>
        </w:rPr>
        <w:t xml:space="preserve"> </w:t>
      </w:r>
      <w:r>
        <w:rPr>
          <w:spacing w:val="-3"/>
        </w:rPr>
        <w:t>30 日（不含</w:t>
      </w:r>
      <w:r>
        <w:rPr>
          <w:spacing w:val="-11"/>
        </w:rPr>
        <w:t>），</w:t>
      </w:r>
      <w:r>
        <w:rPr>
          <w:spacing w:val="-3"/>
        </w:rPr>
        <w:t>在我市市场监督管理部</w:t>
      </w:r>
      <w:r>
        <w:rPr>
          <w:spacing w:val="6"/>
        </w:rPr>
        <w:t>门、民政部门已登记注册且未满5</w:t>
      </w:r>
      <w:r>
        <w:rPr>
          <w:spacing w:val="-44"/>
        </w:rPr>
        <w:t xml:space="preserve"> </w:t>
      </w:r>
      <w:r>
        <w:rPr>
          <w:spacing w:val="6"/>
        </w:rPr>
        <w:t>年的企业、个体工商户、民办</w:t>
      </w:r>
      <w:r>
        <w:rPr>
          <w:spacing w:val="7"/>
        </w:rPr>
        <w:t>非企业单位、农民专业合作社、家庭农场等。</w:t>
      </w:r>
    </w:p>
    <w:p w14:paraId="30913901">
      <w:pPr>
        <w:pStyle w:val="2"/>
        <w:spacing w:before="3" w:line="333" w:lineRule="auto"/>
        <w:ind w:left="3" w:right="14" w:firstLine="634"/>
      </w:pPr>
      <w:r>
        <w:rPr>
          <w:spacing w:val="6"/>
        </w:rPr>
        <w:t>2.参赛项目符合国家法律法规和国家产业政策，经营规范，</w:t>
      </w:r>
      <w:r>
        <w:rPr>
          <w:spacing w:val="8"/>
        </w:rPr>
        <w:t>社会信誉良好，无知识产权纠纷及其他不良记录。</w:t>
      </w:r>
    </w:p>
    <w:p w14:paraId="105200A9">
      <w:pPr>
        <w:pStyle w:val="2"/>
        <w:spacing w:before="1" w:line="333" w:lineRule="auto"/>
        <w:ind w:left="3" w:right="66" w:firstLine="637"/>
      </w:pPr>
      <w:r>
        <w:rPr>
          <w:spacing w:val="4"/>
        </w:rPr>
        <w:t>3.参赛项目具有创新性产品、技术或商业模式，属于同一参</w:t>
      </w:r>
      <w:r>
        <w:rPr>
          <w:spacing w:val="6"/>
        </w:rPr>
        <w:t>赛主体且独立运营。</w:t>
      </w:r>
    </w:p>
    <w:p w14:paraId="34B88C0E">
      <w:pPr>
        <w:pStyle w:val="2"/>
        <w:spacing w:line="226" w:lineRule="auto"/>
        <w:ind w:left="633"/>
      </w:pPr>
      <w:r>
        <w:rPr>
          <w:spacing w:val="8"/>
        </w:rPr>
        <w:t>4.参赛项目具有较强的成长潜力和带动就业潜能。</w:t>
      </w:r>
    </w:p>
    <w:p w14:paraId="11ECB641">
      <w:pPr>
        <w:pStyle w:val="2"/>
        <w:spacing w:before="180" w:line="334" w:lineRule="auto"/>
        <w:ind w:left="8" w:right="64" w:firstLine="632"/>
      </w:pPr>
      <w:r>
        <w:rPr>
          <w:spacing w:val="4"/>
        </w:rPr>
        <w:t>5.参赛者须为参赛项目的创始人或核心团队成员，每个项目</w:t>
      </w:r>
      <w:r>
        <w:rPr>
          <w:spacing w:val="-2"/>
        </w:rPr>
        <w:t>参赛不超过</w:t>
      </w:r>
      <w:r>
        <w:rPr>
          <w:spacing w:val="-49"/>
        </w:rPr>
        <w:t xml:space="preserve"> </w:t>
      </w:r>
      <w:r>
        <w:rPr>
          <w:spacing w:val="-2"/>
        </w:rPr>
        <w:t>3</w:t>
      </w:r>
      <w:r>
        <w:rPr>
          <w:spacing w:val="-49"/>
        </w:rPr>
        <w:t xml:space="preserve"> </w:t>
      </w:r>
      <w:r>
        <w:rPr>
          <w:spacing w:val="-2"/>
        </w:rPr>
        <w:t>人。</w:t>
      </w:r>
    </w:p>
    <w:p w14:paraId="50315A68">
      <w:pPr>
        <w:spacing w:before="1" w:line="230" w:lineRule="auto"/>
        <w:ind w:left="661"/>
        <w:rPr>
          <w:rFonts w:ascii="楷体" w:hAnsi="楷体" w:eastAsia="楷体" w:cs="楷体"/>
          <w:sz w:val="31"/>
          <w:szCs w:val="31"/>
        </w:rPr>
      </w:pPr>
      <w:r>
        <w:rPr>
          <w:rFonts w:ascii="楷体" w:hAnsi="楷体" w:eastAsia="楷体" w:cs="楷体"/>
          <w:spacing w:val="6"/>
          <w:sz w:val="31"/>
          <w:szCs w:val="31"/>
        </w:rPr>
        <w:t>（二）青年创新专项赛</w:t>
      </w:r>
    </w:p>
    <w:p w14:paraId="519221EF">
      <w:pPr>
        <w:spacing w:line="230" w:lineRule="auto"/>
        <w:rPr>
          <w:rFonts w:ascii="楷体" w:hAnsi="楷体" w:eastAsia="楷体" w:cs="楷体"/>
          <w:sz w:val="31"/>
          <w:szCs w:val="31"/>
        </w:rPr>
        <w:sectPr>
          <w:footerReference r:id="rId8" w:type="default"/>
          <w:pgSz w:w="11900" w:h="16840"/>
          <w:pgMar w:top="1431" w:right="1410" w:bottom="1306" w:left="1603" w:header="0" w:footer="943" w:gutter="0"/>
          <w:cols w:space="720" w:num="1"/>
        </w:sectPr>
      </w:pPr>
    </w:p>
    <w:p w14:paraId="65A90745">
      <w:pPr>
        <w:spacing w:line="246" w:lineRule="auto"/>
        <w:rPr>
          <w:rFonts w:ascii="Arial"/>
          <w:sz w:val="21"/>
        </w:rPr>
      </w:pPr>
    </w:p>
    <w:p w14:paraId="4371CDA6">
      <w:pPr>
        <w:spacing w:line="246" w:lineRule="auto"/>
        <w:rPr>
          <w:rFonts w:ascii="Arial"/>
          <w:sz w:val="21"/>
        </w:rPr>
      </w:pPr>
    </w:p>
    <w:p w14:paraId="66040EB2">
      <w:pPr>
        <w:spacing w:line="247" w:lineRule="auto"/>
        <w:rPr>
          <w:rFonts w:ascii="Arial"/>
          <w:sz w:val="21"/>
        </w:rPr>
      </w:pPr>
    </w:p>
    <w:p w14:paraId="481478E4">
      <w:pPr>
        <w:pStyle w:val="2"/>
        <w:spacing w:before="100" w:line="333" w:lineRule="auto"/>
        <w:ind w:left="12" w:right="159" w:firstLine="653"/>
      </w:pPr>
      <w:r>
        <w:rPr>
          <w:spacing w:val="-4"/>
        </w:rPr>
        <w:t>1.截至</w:t>
      </w:r>
      <w:r>
        <w:rPr>
          <w:spacing w:val="-57"/>
        </w:rPr>
        <w:t xml:space="preserve"> </w:t>
      </w:r>
      <w:r>
        <w:rPr>
          <w:spacing w:val="-4"/>
        </w:rPr>
        <w:t>2026</w:t>
      </w:r>
      <w:r>
        <w:rPr>
          <w:spacing w:val="-45"/>
        </w:rPr>
        <w:t xml:space="preserve"> </w:t>
      </w:r>
      <w:r>
        <w:rPr>
          <w:spacing w:val="-4"/>
        </w:rPr>
        <w:t>年</w:t>
      </w:r>
      <w:r>
        <w:rPr>
          <w:spacing w:val="-63"/>
        </w:rPr>
        <w:t xml:space="preserve"> </w:t>
      </w:r>
      <w:r>
        <w:rPr>
          <w:spacing w:val="-4"/>
        </w:rPr>
        <w:t>4</w:t>
      </w:r>
      <w:r>
        <w:rPr>
          <w:spacing w:val="-39"/>
        </w:rPr>
        <w:t xml:space="preserve"> </w:t>
      </w:r>
      <w:r>
        <w:rPr>
          <w:spacing w:val="-4"/>
        </w:rPr>
        <w:t>月</w:t>
      </w:r>
      <w:r>
        <w:rPr>
          <w:spacing w:val="-56"/>
        </w:rPr>
        <w:t xml:space="preserve"> </w:t>
      </w:r>
      <w:r>
        <w:rPr>
          <w:spacing w:val="-4"/>
        </w:rPr>
        <w:t>30 日（不含</w:t>
      </w:r>
      <w:r>
        <w:rPr>
          <w:spacing w:val="3"/>
        </w:rPr>
        <w:t>），</w:t>
      </w:r>
      <w:r>
        <w:rPr>
          <w:spacing w:val="-4"/>
        </w:rPr>
        <w:t>尚未在市场监督管理部</w:t>
      </w:r>
      <w:r>
        <w:rPr>
          <w:spacing w:val="5"/>
        </w:rPr>
        <w:t>门、民政部门登记注册的创业团队（创业团队须是在</w:t>
      </w:r>
      <w:r>
        <w:rPr>
          <w:spacing w:val="4"/>
        </w:rPr>
        <w:t>我市创业孵</w:t>
      </w:r>
      <w:r>
        <w:rPr>
          <w:spacing w:val="5"/>
        </w:rPr>
        <w:t>化基地、孵化器在孵项目，高校、技工院校师生或科</w:t>
      </w:r>
      <w:r>
        <w:rPr>
          <w:spacing w:val="4"/>
        </w:rPr>
        <w:t>研院所科研人员创业项目）。</w:t>
      </w:r>
    </w:p>
    <w:p w14:paraId="25D31FC4">
      <w:pPr>
        <w:pStyle w:val="2"/>
        <w:spacing w:line="333" w:lineRule="auto"/>
        <w:ind w:left="17" w:right="162" w:firstLine="628"/>
      </w:pPr>
      <w:r>
        <w:rPr>
          <w:spacing w:val="4"/>
        </w:rPr>
        <w:t>2.参赛项目符合国家法律法规和国家产业政策，无知识产权</w:t>
      </w:r>
      <w:r>
        <w:rPr>
          <w:spacing w:val="6"/>
        </w:rPr>
        <w:t>纠纷及其他不良记录。</w:t>
      </w:r>
    </w:p>
    <w:p w14:paraId="0D58E5F0">
      <w:pPr>
        <w:pStyle w:val="2"/>
        <w:spacing w:before="1" w:line="333" w:lineRule="auto"/>
        <w:ind w:left="16" w:right="162" w:firstLine="632"/>
      </w:pPr>
      <w:r>
        <w:rPr>
          <w:spacing w:val="4"/>
        </w:rPr>
        <w:t>3.参赛项目具有创新性产品、技术或商业模式，且属于同一</w:t>
      </w:r>
      <w:r>
        <w:rPr>
          <w:spacing w:val="2"/>
        </w:rPr>
        <w:t>参赛主体。</w:t>
      </w:r>
    </w:p>
    <w:p w14:paraId="32860554">
      <w:pPr>
        <w:pStyle w:val="2"/>
        <w:spacing w:before="1" w:line="225" w:lineRule="auto"/>
        <w:ind w:left="640"/>
      </w:pPr>
      <w:r>
        <w:rPr>
          <w:spacing w:val="8"/>
        </w:rPr>
        <w:t>4.参赛项目具有较强的落地成长潜力和带动就业潜能。</w:t>
      </w:r>
    </w:p>
    <w:p w14:paraId="29136CD6">
      <w:pPr>
        <w:pStyle w:val="2"/>
        <w:spacing w:before="183" w:line="334" w:lineRule="auto"/>
        <w:ind w:left="16" w:right="159" w:firstLine="632"/>
      </w:pPr>
      <w:r>
        <w:rPr>
          <w:spacing w:val="4"/>
        </w:rPr>
        <w:t>5.参赛者须为参赛项目的创始人或核心团队成员，每个项目</w:t>
      </w:r>
      <w:r>
        <w:rPr>
          <w:spacing w:val="1"/>
        </w:rPr>
        <w:t>参赛原则上不超过</w:t>
      </w:r>
      <w:r>
        <w:rPr>
          <w:spacing w:val="-46"/>
        </w:rPr>
        <w:t xml:space="preserve"> </w:t>
      </w:r>
      <w:r>
        <w:rPr>
          <w:spacing w:val="1"/>
        </w:rPr>
        <w:t>3</w:t>
      </w:r>
      <w:r>
        <w:rPr>
          <w:spacing w:val="-49"/>
        </w:rPr>
        <w:t xml:space="preserve"> </w:t>
      </w:r>
      <w:r>
        <w:rPr>
          <w:spacing w:val="1"/>
        </w:rPr>
        <w:t>人。</w:t>
      </w:r>
    </w:p>
    <w:p w14:paraId="5DA3E281">
      <w:pPr>
        <w:spacing w:before="4" w:line="227" w:lineRule="auto"/>
        <w:ind w:left="656"/>
        <w:outlineLvl w:val="0"/>
        <w:rPr>
          <w:rFonts w:ascii="黑体" w:hAnsi="黑体" w:eastAsia="黑体" w:cs="黑体"/>
          <w:sz w:val="30"/>
          <w:szCs w:val="30"/>
        </w:rPr>
      </w:pPr>
      <w:r>
        <w:rPr>
          <w:rFonts w:ascii="黑体" w:hAnsi="黑体" w:eastAsia="黑体" w:cs="黑体"/>
          <w:spacing w:val="6"/>
          <w:sz w:val="30"/>
          <w:szCs w:val="30"/>
        </w:rPr>
        <w:t>五、赛事流程</w:t>
      </w:r>
    </w:p>
    <w:p w14:paraId="618B5719">
      <w:pPr>
        <w:spacing w:before="185" w:line="230" w:lineRule="auto"/>
        <w:ind w:left="658"/>
        <w:rPr>
          <w:rFonts w:ascii="楷体" w:hAnsi="楷体" w:eastAsia="楷体" w:cs="楷体"/>
          <w:sz w:val="31"/>
          <w:szCs w:val="31"/>
        </w:rPr>
      </w:pPr>
      <w:r>
        <w:rPr>
          <w:rFonts w:ascii="楷体" w:hAnsi="楷体" w:eastAsia="楷体" w:cs="楷体"/>
          <w:spacing w:val="7"/>
          <w:sz w:val="31"/>
          <w:szCs w:val="31"/>
        </w:rPr>
        <w:t>第一阶段：大赛启动和组织发动</w:t>
      </w:r>
    </w:p>
    <w:p w14:paraId="50BAEE85">
      <w:pPr>
        <w:pStyle w:val="2"/>
        <w:spacing w:before="176" w:line="333" w:lineRule="auto"/>
        <w:ind w:left="11" w:right="162" w:firstLine="642"/>
      </w:pPr>
      <w:r>
        <w:rPr>
          <w:spacing w:val="4"/>
        </w:rPr>
        <w:t>组建成立大连市选拔赛组委会，制定选拔赛实施方案，发布</w:t>
      </w:r>
      <w:r>
        <w:rPr>
          <w:spacing w:val="5"/>
        </w:rPr>
        <w:t>赛事启动文件，通过我市各类媒体，并发动各主办</w:t>
      </w:r>
      <w:r>
        <w:rPr>
          <w:spacing w:val="4"/>
        </w:rPr>
        <w:t>、承办、协办</w:t>
      </w:r>
      <w:r>
        <w:rPr>
          <w:spacing w:val="8"/>
        </w:rPr>
        <w:t>单位广泛开展赛事宣传，征集报名参赛项目。</w:t>
      </w:r>
    </w:p>
    <w:p w14:paraId="2DB6FAFA">
      <w:pPr>
        <w:spacing w:before="1" w:line="229" w:lineRule="auto"/>
        <w:ind w:left="653"/>
        <w:rPr>
          <w:rFonts w:ascii="楷体" w:hAnsi="楷体" w:eastAsia="楷体" w:cs="楷体"/>
          <w:sz w:val="31"/>
          <w:szCs w:val="31"/>
        </w:rPr>
      </w:pPr>
      <w:r>
        <w:rPr>
          <w:rFonts w:ascii="楷体" w:hAnsi="楷体" w:eastAsia="楷体" w:cs="楷体"/>
          <w:spacing w:val="6"/>
          <w:sz w:val="31"/>
          <w:szCs w:val="31"/>
        </w:rPr>
        <w:t>第二阶段：报名及推荐</w:t>
      </w:r>
    </w:p>
    <w:p w14:paraId="2163134A">
      <w:pPr>
        <w:pStyle w:val="2"/>
        <w:spacing w:before="175" w:line="331" w:lineRule="auto"/>
        <w:ind w:left="10" w:right="162" w:firstLine="658"/>
      </w:pPr>
      <w:r>
        <w:rPr>
          <w:rFonts w:ascii="楷体" w:hAnsi="楷体" w:eastAsia="楷体" w:cs="楷体"/>
          <w:spacing w:val="3"/>
        </w:rPr>
        <w:t>（一）参赛报名。</w:t>
      </w:r>
      <w:r>
        <w:rPr>
          <w:spacing w:val="3"/>
        </w:rPr>
        <w:t>参赛报名须网上申报，同时提交纸质申报</w:t>
      </w:r>
      <w:r>
        <w:rPr>
          <w:spacing w:val="-1"/>
        </w:rPr>
        <w:t>材料。</w:t>
      </w:r>
    </w:p>
    <w:p w14:paraId="6B0EECC8">
      <w:pPr>
        <w:pStyle w:val="2"/>
        <w:spacing w:before="9" w:line="333" w:lineRule="auto"/>
        <w:ind w:firstLine="665"/>
        <w:jc w:val="both"/>
      </w:pPr>
      <w:r>
        <w:rPr>
          <w:spacing w:val="-2"/>
        </w:rPr>
        <w:t>1.网上报名。省级组委会设立全省统一网络报名通道（</w:t>
      </w:r>
      <w:r>
        <w:fldChar w:fldCharType="begin"/>
      </w:r>
      <w:r>
        <w:instrText xml:space="preserve"> HYPERLINK "https:" </w:instrText>
      </w:r>
      <w:r>
        <w:fldChar w:fldCharType="separate"/>
      </w:r>
      <w:r>
        <w:rPr>
          <w:spacing w:val="-2"/>
        </w:rPr>
        <w:t>https:</w:t>
      </w:r>
      <w:r>
        <w:rPr>
          <w:spacing w:val="-2"/>
        </w:rPr>
        <w:fldChar w:fldCharType="end"/>
      </w:r>
      <w:r>
        <w:rPr>
          <w:spacing w:val="14"/>
        </w:rPr>
        <w:t xml:space="preserve"> </w:t>
      </w:r>
      <w:r>
        <w:rPr>
          <w:spacing w:val="8"/>
        </w:rPr>
        <w:t>//218.60.152.198:10443，用户名直接输</w:t>
      </w:r>
      <w:r>
        <w:rPr>
          <w:spacing w:val="7"/>
        </w:rPr>
        <w:t>入手机号后即可注册，</w:t>
      </w:r>
      <w:r>
        <w:rPr>
          <w:spacing w:val="3"/>
        </w:rPr>
        <w:t>初始密码123456，后续可修改）—选择“大连赛区</w:t>
      </w:r>
      <w:r>
        <w:rPr>
          <w:spacing w:val="-98"/>
        </w:rPr>
        <w:t xml:space="preserve"> </w:t>
      </w:r>
      <w:r>
        <w:rPr>
          <w:spacing w:val="3"/>
        </w:rPr>
        <w:t>”—发起报名</w:t>
      </w:r>
    </w:p>
    <w:p w14:paraId="2BF943B6">
      <w:pPr>
        <w:spacing w:line="333" w:lineRule="auto"/>
        <w:sectPr>
          <w:footerReference r:id="rId9" w:type="default"/>
          <w:pgSz w:w="11900" w:h="16840"/>
          <w:pgMar w:top="1431" w:right="1314" w:bottom="1306" w:left="1596" w:header="0" w:footer="943" w:gutter="0"/>
          <w:cols w:space="720" w:num="1"/>
        </w:sectPr>
      </w:pPr>
    </w:p>
    <w:p w14:paraId="76AA1A0E">
      <w:pPr>
        <w:spacing w:line="245" w:lineRule="auto"/>
        <w:rPr>
          <w:rFonts w:ascii="Arial"/>
          <w:sz w:val="21"/>
        </w:rPr>
      </w:pPr>
    </w:p>
    <w:p w14:paraId="4CA1AB63">
      <w:pPr>
        <w:spacing w:line="245" w:lineRule="auto"/>
        <w:rPr>
          <w:rFonts w:ascii="Arial"/>
          <w:sz w:val="21"/>
        </w:rPr>
      </w:pPr>
    </w:p>
    <w:p w14:paraId="1C6AC6EB">
      <w:pPr>
        <w:spacing w:line="246" w:lineRule="auto"/>
        <w:rPr>
          <w:rFonts w:ascii="Arial"/>
          <w:sz w:val="21"/>
        </w:rPr>
      </w:pPr>
    </w:p>
    <w:p w14:paraId="02D98F66">
      <w:pPr>
        <w:pStyle w:val="2"/>
        <w:spacing w:before="101" w:line="333" w:lineRule="auto"/>
        <w:ind w:left="24" w:hanging="1"/>
      </w:pPr>
      <w:r>
        <w:rPr>
          <w:spacing w:val="2"/>
        </w:rPr>
        <w:t>,</w:t>
      </w:r>
      <w:r>
        <w:rPr>
          <w:spacing w:val="60"/>
        </w:rPr>
        <w:t xml:space="preserve"> </w:t>
      </w:r>
      <w:r>
        <w:rPr>
          <w:spacing w:val="2"/>
        </w:rPr>
        <w:t>报名者可按不同赛道分类报名，不得兼报。网上报名截止时间</w:t>
      </w:r>
      <w:r>
        <w:t xml:space="preserve"> </w:t>
      </w:r>
      <w:r>
        <w:rPr>
          <w:spacing w:val="-5"/>
        </w:rPr>
        <w:t>：2026年4月20</w:t>
      </w:r>
      <w:r>
        <w:rPr>
          <w:spacing w:val="-66"/>
        </w:rPr>
        <w:t xml:space="preserve"> </w:t>
      </w:r>
      <w:r>
        <w:rPr>
          <w:spacing w:val="-5"/>
        </w:rPr>
        <w:t>日。</w:t>
      </w:r>
    </w:p>
    <w:p w14:paraId="71CF75A7">
      <w:pPr>
        <w:pStyle w:val="2"/>
        <w:spacing w:line="332" w:lineRule="auto"/>
        <w:ind w:left="98" w:right="2" w:firstLine="525"/>
      </w:pPr>
      <w:r>
        <w:rPr>
          <w:spacing w:val="5"/>
        </w:rPr>
        <w:t>2.材料报送。纸质申报材料须报送大连市就业和人</w:t>
      </w:r>
      <w:r>
        <w:rPr>
          <w:spacing w:val="4"/>
        </w:rPr>
        <w:t>才服务中</w:t>
      </w:r>
      <w:r>
        <w:rPr>
          <w:spacing w:val="10"/>
        </w:rPr>
        <w:t>心（大连市西岗区和云巷1号南楼303室</w:t>
      </w:r>
      <w:r>
        <w:rPr>
          <w:spacing w:val="-52"/>
        </w:rPr>
        <w:t>），</w:t>
      </w:r>
      <w:r>
        <w:rPr>
          <w:spacing w:val="10"/>
        </w:rPr>
        <w:t>截止时间：202</w:t>
      </w:r>
      <w:r>
        <w:rPr>
          <w:spacing w:val="9"/>
        </w:rPr>
        <w:t>6年4</w:t>
      </w:r>
      <w:r>
        <w:rPr>
          <w:spacing w:val="-14"/>
        </w:rPr>
        <w:t>月</w:t>
      </w:r>
      <w:r>
        <w:rPr>
          <w:spacing w:val="-71"/>
        </w:rPr>
        <w:t xml:space="preserve"> </w:t>
      </w:r>
      <w:r>
        <w:rPr>
          <w:spacing w:val="-14"/>
        </w:rPr>
        <w:t>24 日</w:t>
      </w:r>
      <w:r>
        <w:rPr>
          <w:spacing w:val="-48"/>
        </w:rPr>
        <w:t xml:space="preserve"> </w:t>
      </w:r>
      <w:r>
        <w:rPr>
          <w:spacing w:val="-14"/>
        </w:rPr>
        <w:t>。 同</w:t>
      </w:r>
      <w:r>
        <w:rPr>
          <w:spacing w:val="-49"/>
        </w:rPr>
        <w:t xml:space="preserve"> </w:t>
      </w:r>
      <w:r>
        <w:rPr>
          <w:spacing w:val="-14"/>
        </w:rPr>
        <w:t>时</w:t>
      </w:r>
      <w:r>
        <w:rPr>
          <w:spacing w:val="-66"/>
        </w:rPr>
        <w:t xml:space="preserve"> </w:t>
      </w:r>
      <w:r>
        <w:rPr>
          <w:spacing w:val="-14"/>
        </w:rPr>
        <w:t>相关</w:t>
      </w:r>
      <w:r>
        <w:rPr>
          <w:spacing w:val="-34"/>
        </w:rPr>
        <w:t xml:space="preserve"> </w:t>
      </w:r>
      <w:r>
        <w:rPr>
          <w:spacing w:val="-14"/>
        </w:rPr>
        <w:t>电</w:t>
      </w:r>
      <w:r>
        <w:rPr>
          <w:spacing w:val="-57"/>
        </w:rPr>
        <w:t xml:space="preserve"> </w:t>
      </w:r>
      <w:r>
        <w:rPr>
          <w:spacing w:val="-14"/>
        </w:rPr>
        <w:t>子</w:t>
      </w:r>
      <w:r>
        <w:rPr>
          <w:spacing w:val="-74"/>
        </w:rPr>
        <w:t xml:space="preserve"> </w:t>
      </w:r>
      <w:r>
        <w:rPr>
          <w:spacing w:val="-14"/>
        </w:rPr>
        <w:t>版</w:t>
      </w:r>
      <w:r>
        <w:rPr>
          <w:spacing w:val="-72"/>
        </w:rPr>
        <w:t xml:space="preserve"> </w:t>
      </w:r>
      <w:r>
        <w:rPr>
          <w:spacing w:val="-14"/>
        </w:rPr>
        <w:t>材</w:t>
      </w:r>
      <w:r>
        <w:rPr>
          <w:spacing w:val="-70"/>
        </w:rPr>
        <w:t xml:space="preserve"> </w:t>
      </w:r>
      <w:r>
        <w:rPr>
          <w:spacing w:val="-14"/>
        </w:rPr>
        <w:t>料</w:t>
      </w:r>
      <w:r>
        <w:rPr>
          <w:spacing w:val="-39"/>
        </w:rPr>
        <w:t xml:space="preserve"> </w:t>
      </w:r>
      <w:r>
        <w:rPr>
          <w:spacing w:val="-14"/>
        </w:rPr>
        <w:t>以</w:t>
      </w:r>
      <w:r>
        <w:rPr>
          <w:spacing w:val="-36"/>
        </w:rPr>
        <w:t xml:space="preserve"> </w:t>
      </w:r>
      <w:r>
        <w:rPr>
          <w:spacing w:val="-14"/>
        </w:rPr>
        <w:t>电</w:t>
      </w:r>
      <w:r>
        <w:rPr>
          <w:spacing w:val="-56"/>
        </w:rPr>
        <w:t xml:space="preserve"> </w:t>
      </w:r>
      <w:r>
        <w:rPr>
          <w:spacing w:val="-14"/>
        </w:rPr>
        <w:t>子</w:t>
      </w:r>
      <w:r>
        <w:rPr>
          <w:spacing w:val="-47"/>
        </w:rPr>
        <w:t xml:space="preserve"> </w:t>
      </w:r>
      <w:r>
        <w:rPr>
          <w:spacing w:val="-14"/>
        </w:rPr>
        <w:t>邮</w:t>
      </w:r>
      <w:r>
        <w:rPr>
          <w:spacing w:val="-69"/>
        </w:rPr>
        <w:t xml:space="preserve"> </w:t>
      </w:r>
      <w:r>
        <w:rPr>
          <w:spacing w:val="-14"/>
        </w:rPr>
        <w:t>件</w:t>
      </w:r>
      <w:r>
        <w:rPr>
          <w:spacing w:val="-71"/>
        </w:rPr>
        <w:t xml:space="preserve"> </w:t>
      </w:r>
      <w:r>
        <w:rPr>
          <w:spacing w:val="-14"/>
        </w:rPr>
        <w:t>形式</w:t>
      </w:r>
      <w:r>
        <w:rPr>
          <w:spacing w:val="-72"/>
        </w:rPr>
        <w:t xml:space="preserve"> </w:t>
      </w:r>
      <w:r>
        <w:rPr>
          <w:spacing w:val="-14"/>
        </w:rPr>
        <w:t>报送</w:t>
      </w:r>
      <w:r>
        <w:rPr>
          <w:spacing w:val="-61"/>
        </w:rPr>
        <w:t xml:space="preserve"> </w:t>
      </w:r>
      <w:r>
        <w:rPr>
          <w:spacing w:val="-14"/>
        </w:rPr>
        <w:t>至</w:t>
      </w:r>
      <w:r>
        <w:fldChar w:fldCharType="begin"/>
      </w:r>
      <w:r>
        <w:instrText xml:space="preserve"> HYPERLINK "dlrcpjb@163.com" </w:instrText>
      </w:r>
      <w:r>
        <w:fldChar w:fldCharType="separate"/>
      </w:r>
      <w:r>
        <w:t>dlrcpjb</w:t>
      </w:r>
      <w:r>
        <w:rPr>
          <w:spacing w:val="9"/>
        </w:rPr>
        <w:t>@163.</w:t>
      </w:r>
      <w:r>
        <w:t>com</w:t>
      </w:r>
      <w:r>
        <w:fldChar w:fldCharType="end"/>
      </w:r>
      <w:r>
        <w:rPr>
          <w:spacing w:val="9"/>
        </w:rPr>
        <w:t>。</w:t>
      </w:r>
    </w:p>
    <w:p w14:paraId="5084B6CF">
      <w:pPr>
        <w:pStyle w:val="2"/>
        <w:spacing w:before="12" w:line="333" w:lineRule="auto"/>
        <w:ind w:left="103" w:right="2" w:firstLine="523"/>
      </w:pPr>
      <w:r>
        <w:rPr>
          <w:spacing w:val="5"/>
        </w:rPr>
        <w:t>3.资格审核。组委会办公室依据参赛条件，对报名</w:t>
      </w:r>
      <w:r>
        <w:rPr>
          <w:spacing w:val="4"/>
        </w:rPr>
        <w:t>参赛的项</w:t>
      </w:r>
      <w:r>
        <w:rPr>
          <w:spacing w:val="6"/>
        </w:rPr>
        <w:t>目进行资格审核，符合条件的参赛项目于2026年4月30日前在大</w:t>
      </w:r>
      <w:r>
        <w:rPr>
          <w:spacing w:val="5"/>
        </w:rPr>
        <w:t>连市人力资源和社会保障局官方网站、“大连人</w:t>
      </w:r>
      <w:r>
        <w:rPr>
          <w:spacing w:val="4"/>
        </w:rPr>
        <w:t>社12333</w:t>
      </w:r>
      <w:r>
        <w:rPr>
          <w:spacing w:val="-107"/>
        </w:rPr>
        <w:t xml:space="preserve"> </w:t>
      </w:r>
      <w:r>
        <w:rPr>
          <w:spacing w:val="4"/>
        </w:rPr>
        <w:t>”微信</w:t>
      </w:r>
      <w:r>
        <w:rPr>
          <w:spacing w:val="3"/>
        </w:rPr>
        <w:t>公众号进行公布。</w:t>
      </w:r>
      <w:r>
        <w:rPr>
          <w:spacing w:val="-71"/>
        </w:rPr>
        <w:t xml:space="preserve"> </w:t>
      </w:r>
      <w:r>
        <w:rPr>
          <w:spacing w:val="3"/>
        </w:rPr>
        <w:t>同时，</w:t>
      </w:r>
      <w:r>
        <w:rPr>
          <w:spacing w:val="-92"/>
        </w:rPr>
        <w:t xml:space="preserve"> </w:t>
      </w:r>
      <w:r>
        <w:rPr>
          <w:spacing w:val="3"/>
        </w:rPr>
        <w:t>以短信或电话等方式告知参赛者。</w:t>
      </w:r>
    </w:p>
    <w:p w14:paraId="331ECF18">
      <w:pPr>
        <w:spacing w:before="1" w:line="229" w:lineRule="auto"/>
        <w:ind w:left="646"/>
        <w:rPr>
          <w:rFonts w:ascii="楷体" w:hAnsi="楷体" w:eastAsia="楷体" w:cs="楷体"/>
          <w:sz w:val="31"/>
          <w:szCs w:val="31"/>
        </w:rPr>
      </w:pPr>
      <w:r>
        <w:rPr>
          <w:rFonts w:ascii="楷体" w:hAnsi="楷体" w:eastAsia="楷体" w:cs="楷体"/>
          <w:spacing w:val="6"/>
          <w:sz w:val="31"/>
          <w:szCs w:val="31"/>
        </w:rPr>
        <w:t>（二）报名需提交纸质材料</w:t>
      </w:r>
    </w:p>
    <w:p w14:paraId="2EDB37E4">
      <w:pPr>
        <w:pStyle w:val="2"/>
        <w:spacing w:before="173" w:line="334" w:lineRule="auto"/>
        <w:ind w:left="6" w:right="16" w:firstLine="637"/>
      </w:pPr>
      <w:r>
        <w:rPr>
          <w:spacing w:val="15"/>
        </w:rPr>
        <w:t>1.企业法定代表人(团队第一创始人)以及核心团队成员有</w:t>
      </w:r>
      <w:r>
        <w:rPr>
          <w:spacing w:val="6"/>
        </w:rPr>
        <w:t>效身份证件(复印件)</w:t>
      </w:r>
    </w:p>
    <w:p w14:paraId="76ED5BBA">
      <w:pPr>
        <w:pStyle w:val="2"/>
        <w:spacing w:before="2" w:line="333" w:lineRule="auto"/>
        <w:ind w:right="16" w:firstLine="623"/>
      </w:pPr>
      <w:r>
        <w:rPr>
          <w:spacing w:val="10"/>
        </w:rPr>
        <w:t>2.企业营业执照(副本复印件，加盖参赛单位公章，青年创</w:t>
      </w:r>
      <w:r>
        <w:rPr>
          <w:spacing w:val="7"/>
        </w:rPr>
        <w:t>新专项赛项目无需提供)</w:t>
      </w:r>
    </w:p>
    <w:p w14:paraId="784EBB9A">
      <w:pPr>
        <w:pStyle w:val="2"/>
        <w:spacing w:line="228" w:lineRule="auto"/>
        <w:ind w:left="626"/>
      </w:pPr>
      <w:r>
        <w:rPr>
          <w:spacing w:val="6"/>
        </w:rPr>
        <w:t>3.参赛项目报名表（附件3）</w:t>
      </w:r>
    </w:p>
    <w:p w14:paraId="36FA7CE3">
      <w:pPr>
        <w:pStyle w:val="2"/>
        <w:spacing w:before="177" w:line="228" w:lineRule="auto"/>
        <w:ind w:left="618"/>
      </w:pPr>
      <w:r>
        <w:rPr>
          <w:spacing w:val="6"/>
        </w:rPr>
        <w:t>4.参赛声明（附件4）</w:t>
      </w:r>
    </w:p>
    <w:p w14:paraId="14978153">
      <w:pPr>
        <w:pStyle w:val="2"/>
        <w:spacing w:before="176" w:line="227" w:lineRule="auto"/>
        <w:ind w:left="626"/>
      </w:pPr>
      <w:r>
        <w:rPr>
          <w:spacing w:val="1"/>
        </w:rPr>
        <w:t>5.商业计划书（参考附件5《商业计划书编制提纲》）</w:t>
      </w:r>
    </w:p>
    <w:p w14:paraId="6F3EE04C">
      <w:pPr>
        <w:pStyle w:val="2"/>
        <w:spacing w:before="180" w:line="226" w:lineRule="auto"/>
        <w:ind w:left="622"/>
      </w:pPr>
      <w:r>
        <w:rPr>
          <w:spacing w:val="8"/>
        </w:rPr>
        <w:t>6.相关专利和获奖材料复印件</w:t>
      </w:r>
    </w:p>
    <w:p w14:paraId="502B2D2E">
      <w:pPr>
        <w:pStyle w:val="2"/>
        <w:spacing w:before="180" w:line="226" w:lineRule="auto"/>
        <w:ind w:left="662"/>
      </w:pPr>
      <w:r>
        <w:rPr>
          <w:spacing w:val="7"/>
        </w:rPr>
        <w:t>以上材料请按顺序装订成册，避免纸质材料脱落或遗漏。</w:t>
      </w:r>
    </w:p>
    <w:p w14:paraId="2036A269">
      <w:pPr>
        <w:spacing w:before="179" w:line="234" w:lineRule="auto"/>
        <w:ind w:left="646"/>
        <w:rPr>
          <w:rFonts w:ascii="楷体" w:hAnsi="楷体" w:eastAsia="楷体" w:cs="楷体"/>
          <w:sz w:val="31"/>
          <w:szCs w:val="31"/>
        </w:rPr>
      </w:pPr>
      <w:r>
        <w:rPr>
          <w:rFonts w:ascii="楷体" w:hAnsi="楷体" w:eastAsia="楷体" w:cs="楷体"/>
          <w:spacing w:val="4"/>
          <w:sz w:val="31"/>
          <w:szCs w:val="31"/>
        </w:rPr>
        <w:t>（三）相关要求</w:t>
      </w:r>
    </w:p>
    <w:p w14:paraId="1ADFFD4F">
      <w:pPr>
        <w:pStyle w:val="2"/>
        <w:spacing w:before="170" w:line="225" w:lineRule="auto"/>
        <w:ind w:right="14"/>
        <w:jc w:val="right"/>
      </w:pPr>
      <w:r>
        <w:rPr>
          <w:spacing w:val="4"/>
        </w:rPr>
        <w:t>各地区人社部门、在连高校、技工学校和各有关单位须依据</w:t>
      </w:r>
    </w:p>
    <w:p w14:paraId="156C7FA3">
      <w:pPr>
        <w:spacing w:line="225" w:lineRule="auto"/>
        <w:sectPr>
          <w:footerReference r:id="rId10" w:type="default"/>
          <w:pgSz w:w="11900" w:h="16840"/>
          <w:pgMar w:top="1431" w:right="1472" w:bottom="1306" w:left="1606" w:header="0" w:footer="943" w:gutter="0"/>
          <w:cols w:space="720" w:num="1"/>
        </w:sectPr>
      </w:pPr>
    </w:p>
    <w:p w14:paraId="46575EA5">
      <w:pPr>
        <w:spacing w:line="247" w:lineRule="auto"/>
        <w:rPr>
          <w:rFonts w:ascii="Arial"/>
          <w:sz w:val="21"/>
        </w:rPr>
      </w:pPr>
    </w:p>
    <w:p w14:paraId="67FB6AED">
      <w:pPr>
        <w:spacing w:line="247" w:lineRule="auto"/>
        <w:rPr>
          <w:rFonts w:ascii="Arial"/>
          <w:sz w:val="21"/>
        </w:rPr>
      </w:pPr>
    </w:p>
    <w:p w14:paraId="58F34618">
      <w:pPr>
        <w:spacing w:line="247" w:lineRule="auto"/>
        <w:rPr>
          <w:rFonts w:ascii="Arial"/>
          <w:sz w:val="21"/>
        </w:rPr>
      </w:pPr>
    </w:p>
    <w:p w14:paraId="3135C8D9">
      <w:pPr>
        <w:pStyle w:val="2"/>
        <w:spacing w:before="101" w:line="333" w:lineRule="auto"/>
        <w:ind w:right="115" w:firstLine="34"/>
        <w:jc w:val="both"/>
      </w:pPr>
      <w:r>
        <w:rPr>
          <w:spacing w:val="4"/>
        </w:rPr>
        <w:t>参赛条件对各自组织申报的参赛项目进行初审，同意推荐的应在“参赛项目报名表</w:t>
      </w:r>
      <w:r>
        <w:rPr>
          <w:spacing w:val="-111"/>
        </w:rPr>
        <w:t xml:space="preserve"> </w:t>
      </w:r>
      <w:r>
        <w:rPr>
          <w:spacing w:val="4"/>
        </w:rPr>
        <w:t>”上加盖本单位公章，并汇总本地区、本单位</w:t>
      </w:r>
      <w:r>
        <w:t>报名情况，填报项目推荐表（附件6）。同一参赛项目仅有一个推</w:t>
      </w:r>
      <w:r>
        <w:rPr>
          <w:spacing w:val="5"/>
        </w:rPr>
        <w:t>荐单位，不可重复推荐。上述附件材料电子版可在“大连市人力</w:t>
      </w:r>
      <w:r>
        <w:rPr>
          <w:spacing w:val="4"/>
        </w:rPr>
        <w:t>资源和社会保障局</w:t>
      </w:r>
      <w:r>
        <w:rPr>
          <w:spacing w:val="-110"/>
        </w:rPr>
        <w:t xml:space="preserve"> </w:t>
      </w:r>
      <w:r>
        <w:rPr>
          <w:spacing w:val="4"/>
        </w:rPr>
        <w:t>”官方网站下载。无推荐部门的社会</w:t>
      </w:r>
      <w:r>
        <w:rPr>
          <w:spacing w:val="3"/>
        </w:rPr>
        <w:t>报名参赛项目纸质材料请加盖企业公章，直接报送选拔赛组委会办公室 (</w:t>
      </w:r>
      <w:r>
        <w:rPr>
          <w:spacing w:val="5"/>
        </w:rPr>
        <w:t>大连市就业和人才服务中心，西岗区和云巷1号南楼303室）。</w:t>
      </w:r>
    </w:p>
    <w:p w14:paraId="16E219BB">
      <w:pPr>
        <w:spacing w:line="231" w:lineRule="auto"/>
        <w:ind w:left="674"/>
        <w:rPr>
          <w:rFonts w:ascii="楷体" w:hAnsi="楷体" w:eastAsia="楷体" w:cs="楷体"/>
          <w:sz w:val="31"/>
          <w:szCs w:val="31"/>
        </w:rPr>
      </w:pPr>
      <w:r>
        <w:rPr>
          <w:rFonts w:ascii="楷体" w:hAnsi="楷体" w:eastAsia="楷体" w:cs="楷体"/>
          <w:spacing w:val="6"/>
          <w:sz w:val="31"/>
          <w:szCs w:val="31"/>
        </w:rPr>
        <w:t>（四）征集推荐项目数量</w:t>
      </w:r>
    </w:p>
    <w:p w14:paraId="4FF2C9E3">
      <w:pPr>
        <w:pStyle w:val="2"/>
        <w:spacing w:before="170" w:line="227" w:lineRule="auto"/>
        <w:ind w:left="671"/>
      </w:pPr>
      <w:r>
        <w:rPr>
          <w:b/>
          <w:bCs/>
        </w:rPr>
        <w:t>1.各区市县、先导区人社部门各赛道推荐项目数量标准如下</w:t>
      </w:r>
    </w:p>
    <w:p w14:paraId="3BA1FB10">
      <w:pPr>
        <w:spacing w:line="51" w:lineRule="auto"/>
        <w:rPr>
          <w:rFonts w:ascii="Arial"/>
          <w:sz w:val="2"/>
        </w:rPr>
      </w:pPr>
    </w:p>
    <w:tbl>
      <w:tblPr>
        <w:tblStyle w:val="5"/>
        <w:tblW w:w="8834" w:type="dxa"/>
        <w:tblInd w:w="1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9"/>
        <w:gridCol w:w="1128"/>
        <w:gridCol w:w="666"/>
        <w:gridCol w:w="1334"/>
        <w:gridCol w:w="1349"/>
        <w:gridCol w:w="1289"/>
        <w:gridCol w:w="1364"/>
        <w:gridCol w:w="1035"/>
      </w:tblGrid>
      <w:tr w14:paraId="22A6E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69" w:type="dxa"/>
            <w:vMerge w:val="restart"/>
            <w:tcBorders>
              <w:bottom w:val="nil"/>
            </w:tcBorders>
            <w:vAlign w:val="top"/>
          </w:tcPr>
          <w:p w14:paraId="39FFAC7B">
            <w:pPr>
              <w:spacing w:line="249" w:lineRule="auto"/>
              <w:rPr>
                <w:rFonts w:ascii="Arial"/>
                <w:sz w:val="21"/>
              </w:rPr>
            </w:pPr>
          </w:p>
          <w:p w14:paraId="426A7C72">
            <w:pPr>
              <w:spacing w:line="249" w:lineRule="auto"/>
              <w:rPr>
                <w:rFonts w:ascii="Arial"/>
                <w:sz w:val="21"/>
              </w:rPr>
            </w:pPr>
          </w:p>
          <w:p w14:paraId="4D38492B">
            <w:pPr>
              <w:spacing w:line="249" w:lineRule="auto"/>
              <w:rPr>
                <w:rFonts w:ascii="Arial"/>
                <w:sz w:val="21"/>
              </w:rPr>
            </w:pPr>
          </w:p>
          <w:p w14:paraId="62216033">
            <w:pPr>
              <w:spacing w:before="71" w:line="224" w:lineRule="auto"/>
              <w:ind w:left="117"/>
              <w:rPr>
                <w:rFonts w:ascii="黑体" w:hAnsi="黑体" w:eastAsia="黑体" w:cs="黑体"/>
                <w:sz w:val="22"/>
                <w:szCs w:val="22"/>
              </w:rPr>
            </w:pPr>
            <w:r>
              <w:rPr>
                <w:rFonts w:ascii="黑体" w:hAnsi="黑体" w:eastAsia="黑体" w:cs="黑体"/>
                <w:spacing w:val="-4"/>
                <w:sz w:val="22"/>
                <w:szCs w:val="22"/>
              </w:rPr>
              <w:t>序号</w:t>
            </w:r>
          </w:p>
        </w:tc>
        <w:tc>
          <w:tcPr>
            <w:tcW w:w="1128" w:type="dxa"/>
            <w:vMerge w:val="restart"/>
            <w:tcBorders>
              <w:bottom w:val="nil"/>
            </w:tcBorders>
            <w:vAlign w:val="top"/>
          </w:tcPr>
          <w:p w14:paraId="26455C8C">
            <w:pPr>
              <w:spacing w:line="249" w:lineRule="auto"/>
              <w:rPr>
                <w:rFonts w:ascii="Arial"/>
                <w:sz w:val="21"/>
              </w:rPr>
            </w:pPr>
          </w:p>
          <w:p w14:paraId="7CD0CAF6">
            <w:pPr>
              <w:spacing w:line="249" w:lineRule="auto"/>
              <w:rPr>
                <w:rFonts w:ascii="Arial"/>
                <w:sz w:val="21"/>
              </w:rPr>
            </w:pPr>
          </w:p>
          <w:p w14:paraId="58A7B21F">
            <w:pPr>
              <w:spacing w:line="249" w:lineRule="auto"/>
              <w:rPr>
                <w:rFonts w:ascii="Arial"/>
                <w:sz w:val="21"/>
              </w:rPr>
            </w:pPr>
          </w:p>
          <w:p w14:paraId="5E978667">
            <w:pPr>
              <w:spacing w:before="72" w:line="227" w:lineRule="auto"/>
              <w:ind w:left="339"/>
              <w:rPr>
                <w:rFonts w:ascii="黑体" w:hAnsi="黑体" w:eastAsia="黑体" w:cs="黑体"/>
                <w:sz w:val="22"/>
                <w:szCs w:val="22"/>
              </w:rPr>
            </w:pPr>
            <w:r>
              <w:rPr>
                <w:rFonts w:ascii="黑体" w:hAnsi="黑体" w:eastAsia="黑体" w:cs="黑体"/>
                <w:spacing w:val="-4"/>
                <w:sz w:val="22"/>
                <w:szCs w:val="22"/>
              </w:rPr>
              <w:t>地区</w:t>
            </w:r>
          </w:p>
        </w:tc>
        <w:tc>
          <w:tcPr>
            <w:tcW w:w="7037" w:type="dxa"/>
            <w:gridSpan w:val="6"/>
            <w:vAlign w:val="top"/>
          </w:tcPr>
          <w:p w14:paraId="2EE05CB3">
            <w:pPr>
              <w:spacing w:before="255" w:line="221" w:lineRule="auto"/>
              <w:ind w:left="140"/>
              <w:rPr>
                <w:rFonts w:ascii="黑体" w:hAnsi="黑体" w:eastAsia="黑体" w:cs="黑体"/>
                <w:sz w:val="22"/>
                <w:szCs w:val="22"/>
              </w:rPr>
            </w:pPr>
            <w:r>
              <w:rPr>
                <w:rFonts w:ascii="黑体" w:hAnsi="黑体" w:eastAsia="黑体" w:cs="黑体"/>
                <w:spacing w:val="-1"/>
                <w:sz w:val="22"/>
                <w:szCs w:val="22"/>
              </w:rPr>
              <w:t>征集项目≥120个，</w:t>
            </w:r>
            <w:r>
              <w:rPr>
                <w:rFonts w:ascii="黑体" w:hAnsi="黑体" w:eastAsia="黑体" w:cs="黑体"/>
                <w:spacing w:val="-1"/>
                <w:position w:val="1"/>
                <w:sz w:val="22"/>
                <w:szCs w:val="22"/>
              </w:rPr>
              <w:t>其中：</w:t>
            </w:r>
          </w:p>
        </w:tc>
      </w:tr>
      <w:tr w14:paraId="5E401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669" w:type="dxa"/>
            <w:vMerge w:val="continue"/>
            <w:tcBorders>
              <w:top w:val="nil"/>
            </w:tcBorders>
            <w:vAlign w:val="top"/>
          </w:tcPr>
          <w:p w14:paraId="1CC9AA7C">
            <w:pPr>
              <w:rPr>
                <w:rFonts w:ascii="Arial"/>
                <w:sz w:val="21"/>
              </w:rPr>
            </w:pPr>
          </w:p>
        </w:tc>
        <w:tc>
          <w:tcPr>
            <w:tcW w:w="1128" w:type="dxa"/>
            <w:vMerge w:val="continue"/>
            <w:tcBorders>
              <w:top w:val="nil"/>
            </w:tcBorders>
            <w:vAlign w:val="top"/>
          </w:tcPr>
          <w:p w14:paraId="2BE52866">
            <w:pPr>
              <w:rPr>
                <w:rFonts w:ascii="Arial"/>
                <w:sz w:val="21"/>
              </w:rPr>
            </w:pPr>
          </w:p>
        </w:tc>
        <w:tc>
          <w:tcPr>
            <w:tcW w:w="666" w:type="dxa"/>
            <w:vAlign w:val="top"/>
          </w:tcPr>
          <w:p w14:paraId="25B2F140">
            <w:pPr>
              <w:spacing w:line="386" w:lineRule="auto"/>
              <w:rPr>
                <w:rFonts w:ascii="Arial"/>
                <w:sz w:val="21"/>
              </w:rPr>
            </w:pPr>
          </w:p>
          <w:p w14:paraId="7A13B5C7">
            <w:pPr>
              <w:spacing w:before="71" w:line="225" w:lineRule="auto"/>
              <w:ind w:left="118"/>
              <w:rPr>
                <w:rFonts w:ascii="黑体" w:hAnsi="黑体" w:eastAsia="黑体" w:cs="黑体"/>
                <w:sz w:val="22"/>
                <w:szCs w:val="22"/>
              </w:rPr>
            </w:pPr>
            <w:r>
              <w:rPr>
                <w:rFonts w:ascii="黑体" w:hAnsi="黑体" w:eastAsia="黑体" w:cs="黑体"/>
                <w:spacing w:val="-4"/>
                <w:sz w:val="22"/>
                <w:szCs w:val="22"/>
              </w:rPr>
              <w:t>合计</w:t>
            </w:r>
          </w:p>
        </w:tc>
        <w:tc>
          <w:tcPr>
            <w:tcW w:w="1334" w:type="dxa"/>
            <w:vAlign w:val="top"/>
          </w:tcPr>
          <w:p w14:paraId="2F0E9E9F">
            <w:pPr>
              <w:spacing w:before="102" w:line="222" w:lineRule="auto"/>
              <w:ind w:left="403"/>
              <w:rPr>
                <w:rFonts w:ascii="黑体" w:hAnsi="黑体" w:eastAsia="黑体" w:cs="黑体"/>
                <w:sz w:val="18"/>
                <w:szCs w:val="18"/>
              </w:rPr>
            </w:pPr>
            <w:r>
              <w:rPr>
                <w:rFonts w:ascii="黑体" w:hAnsi="黑体" w:eastAsia="黑体" w:cs="黑体"/>
                <w:spacing w:val="-4"/>
                <w:sz w:val="18"/>
                <w:szCs w:val="18"/>
              </w:rPr>
              <w:t>主体赛</w:t>
            </w:r>
          </w:p>
          <w:p w14:paraId="3FBFF512">
            <w:pPr>
              <w:spacing w:before="105" w:line="222" w:lineRule="auto"/>
              <w:ind w:left="84"/>
              <w:rPr>
                <w:rFonts w:ascii="黑体" w:hAnsi="黑体" w:eastAsia="黑体" w:cs="黑体"/>
                <w:sz w:val="18"/>
                <w:szCs w:val="18"/>
              </w:rPr>
            </w:pPr>
            <w:r>
              <w:rPr>
                <w:rFonts w:ascii="黑体" w:hAnsi="黑体" w:eastAsia="黑体" w:cs="黑体"/>
                <w:spacing w:val="-1"/>
                <w:sz w:val="18"/>
                <w:szCs w:val="18"/>
              </w:rPr>
              <w:t>科技成果+创业</w:t>
            </w:r>
          </w:p>
          <w:p w14:paraId="5A082BE8">
            <w:pPr>
              <w:spacing w:before="102" w:line="216" w:lineRule="auto"/>
              <w:ind w:left="490"/>
              <w:rPr>
                <w:rFonts w:ascii="黑体" w:hAnsi="黑体" w:eastAsia="黑体" w:cs="黑体"/>
                <w:sz w:val="18"/>
                <w:szCs w:val="18"/>
              </w:rPr>
            </w:pPr>
            <w:r>
              <w:rPr>
                <w:rFonts w:ascii="黑体" w:hAnsi="黑体" w:eastAsia="黑体" w:cs="黑体"/>
                <w:spacing w:val="-5"/>
                <w:sz w:val="18"/>
                <w:szCs w:val="18"/>
              </w:rPr>
              <w:t>赛道</w:t>
            </w:r>
          </w:p>
        </w:tc>
        <w:tc>
          <w:tcPr>
            <w:tcW w:w="1349" w:type="dxa"/>
            <w:vAlign w:val="top"/>
          </w:tcPr>
          <w:p w14:paraId="3017B201">
            <w:pPr>
              <w:spacing w:before="102" w:line="222" w:lineRule="auto"/>
              <w:ind w:left="348"/>
              <w:rPr>
                <w:rFonts w:ascii="黑体" w:hAnsi="黑体" w:eastAsia="黑体" w:cs="黑体"/>
                <w:sz w:val="18"/>
                <w:szCs w:val="18"/>
              </w:rPr>
            </w:pPr>
            <w:r>
              <w:rPr>
                <w:rFonts w:ascii="黑体" w:hAnsi="黑体" w:eastAsia="黑体" w:cs="黑体"/>
                <w:spacing w:val="-4"/>
                <w:sz w:val="18"/>
                <w:szCs w:val="18"/>
              </w:rPr>
              <w:t>主体赛</w:t>
            </w:r>
          </w:p>
          <w:p w14:paraId="54410A73">
            <w:pPr>
              <w:spacing w:before="104" w:line="221" w:lineRule="auto"/>
              <w:ind w:left="29"/>
              <w:rPr>
                <w:rFonts w:ascii="黑体" w:hAnsi="黑体" w:eastAsia="黑体" w:cs="黑体"/>
                <w:sz w:val="18"/>
                <w:szCs w:val="18"/>
              </w:rPr>
            </w:pPr>
            <w:r>
              <w:rPr>
                <w:rFonts w:ascii="黑体" w:hAnsi="黑体" w:eastAsia="黑体" w:cs="黑体"/>
                <w:spacing w:val="-1"/>
                <w:sz w:val="18"/>
                <w:szCs w:val="18"/>
              </w:rPr>
              <w:t>产业发展+创业</w:t>
            </w:r>
          </w:p>
          <w:p w14:paraId="18DB53C9">
            <w:pPr>
              <w:spacing w:before="104" w:line="216" w:lineRule="auto"/>
              <w:ind w:left="500"/>
              <w:rPr>
                <w:rFonts w:ascii="黑体" w:hAnsi="黑体" w:eastAsia="黑体" w:cs="黑体"/>
                <w:sz w:val="18"/>
                <w:szCs w:val="18"/>
              </w:rPr>
            </w:pPr>
            <w:r>
              <w:rPr>
                <w:rFonts w:ascii="黑体" w:hAnsi="黑体" w:eastAsia="黑体" w:cs="黑体"/>
                <w:spacing w:val="-5"/>
                <w:sz w:val="18"/>
                <w:szCs w:val="18"/>
              </w:rPr>
              <w:t>赛道</w:t>
            </w:r>
          </w:p>
        </w:tc>
        <w:tc>
          <w:tcPr>
            <w:tcW w:w="1289" w:type="dxa"/>
            <w:vAlign w:val="top"/>
          </w:tcPr>
          <w:p w14:paraId="54BE38F3">
            <w:pPr>
              <w:spacing w:before="102" w:line="222" w:lineRule="auto"/>
              <w:ind w:left="382"/>
              <w:rPr>
                <w:rFonts w:ascii="黑体" w:hAnsi="黑体" w:eastAsia="黑体" w:cs="黑体"/>
                <w:sz w:val="18"/>
                <w:szCs w:val="18"/>
              </w:rPr>
            </w:pPr>
            <w:r>
              <w:rPr>
                <w:rFonts w:ascii="黑体" w:hAnsi="黑体" w:eastAsia="黑体" w:cs="黑体"/>
                <w:spacing w:val="-4"/>
                <w:sz w:val="18"/>
                <w:szCs w:val="18"/>
              </w:rPr>
              <w:t>主体赛</w:t>
            </w:r>
          </w:p>
          <w:p w14:paraId="515D35C0">
            <w:pPr>
              <w:spacing w:before="105" w:line="222" w:lineRule="auto"/>
              <w:ind w:left="64"/>
              <w:rPr>
                <w:rFonts w:ascii="黑体" w:hAnsi="黑体" w:eastAsia="黑体" w:cs="黑体"/>
                <w:sz w:val="18"/>
                <w:szCs w:val="18"/>
              </w:rPr>
            </w:pPr>
            <w:r>
              <w:rPr>
                <w:rFonts w:ascii="黑体" w:hAnsi="黑体" w:eastAsia="黑体" w:cs="黑体"/>
                <w:spacing w:val="-2"/>
                <w:sz w:val="18"/>
                <w:szCs w:val="18"/>
              </w:rPr>
              <w:t>职业技能+创业</w:t>
            </w:r>
          </w:p>
          <w:p w14:paraId="21FCAEB9">
            <w:pPr>
              <w:spacing w:before="102" w:line="216" w:lineRule="auto"/>
              <w:ind w:left="471"/>
              <w:rPr>
                <w:rFonts w:ascii="黑体" w:hAnsi="黑体" w:eastAsia="黑体" w:cs="黑体"/>
                <w:sz w:val="18"/>
                <w:szCs w:val="18"/>
              </w:rPr>
            </w:pPr>
            <w:r>
              <w:rPr>
                <w:rFonts w:ascii="黑体" w:hAnsi="黑体" w:eastAsia="黑体" w:cs="黑体"/>
                <w:spacing w:val="-5"/>
                <w:sz w:val="18"/>
                <w:szCs w:val="18"/>
              </w:rPr>
              <w:t>赛道</w:t>
            </w:r>
          </w:p>
        </w:tc>
        <w:tc>
          <w:tcPr>
            <w:tcW w:w="1364" w:type="dxa"/>
            <w:vAlign w:val="top"/>
          </w:tcPr>
          <w:p w14:paraId="2D642FCB">
            <w:pPr>
              <w:spacing w:before="102" w:line="222" w:lineRule="auto"/>
              <w:ind w:left="355"/>
              <w:rPr>
                <w:rFonts w:ascii="黑体" w:hAnsi="黑体" w:eastAsia="黑体" w:cs="黑体"/>
                <w:sz w:val="18"/>
                <w:szCs w:val="18"/>
              </w:rPr>
            </w:pPr>
            <w:r>
              <w:rPr>
                <w:rFonts w:ascii="黑体" w:hAnsi="黑体" w:eastAsia="黑体" w:cs="黑体"/>
                <w:spacing w:val="-4"/>
                <w:sz w:val="18"/>
                <w:szCs w:val="18"/>
              </w:rPr>
              <w:t>主体赛</w:t>
            </w:r>
          </w:p>
          <w:p w14:paraId="77DCEBC3">
            <w:pPr>
              <w:spacing w:before="104" w:line="223" w:lineRule="auto"/>
              <w:ind w:left="48"/>
              <w:rPr>
                <w:rFonts w:ascii="黑体" w:hAnsi="黑体" w:eastAsia="黑体" w:cs="黑体"/>
                <w:sz w:val="18"/>
                <w:szCs w:val="18"/>
              </w:rPr>
            </w:pPr>
            <w:r>
              <w:rPr>
                <w:rFonts w:ascii="黑体" w:hAnsi="黑体" w:eastAsia="黑体" w:cs="黑体"/>
                <w:spacing w:val="-3"/>
                <w:sz w:val="18"/>
                <w:szCs w:val="18"/>
              </w:rPr>
              <w:t>民生需求+创业</w:t>
            </w:r>
          </w:p>
          <w:p w14:paraId="4E4A2D4A">
            <w:pPr>
              <w:spacing w:before="102" w:line="216" w:lineRule="auto"/>
              <w:ind w:left="445"/>
              <w:rPr>
                <w:rFonts w:ascii="黑体" w:hAnsi="黑体" w:eastAsia="黑体" w:cs="黑体"/>
                <w:sz w:val="18"/>
                <w:szCs w:val="18"/>
              </w:rPr>
            </w:pPr>
            <w:r>
              <w:rPr>
                <w:rFonts w:ascii="黑体" w:hAnsi="黑体" w:eastAsia="黑体" w:cs="黑体"/>
                <w:spacing w:val="-5"/>
                <w:sz w:val="18"/>
                <w:szCs w:val="18"/>
              </w:rPr>
              <w:t>赛道</w:t>
            </w:r>
          </w:p>
        </w:tc>
        <w:tc>
          <w:tcPr>
            <w:tcW w:w="1035" w:type="dxa"/>
            <w:vAlign w:val="top"/>
          </w:tcPr>
          <w:p w14:paraId="1E991AE9">
            <w:pPr>
              <w:spacing w:before="102" w:line="221" w:lineRule="auto"/>
              <w:ind w:left="167"/>
              <w:rPr>
                <w:rFonts w:ascii="黑体" w:hAnsi="黑体" w:eastAsia="黑体" w:cs="黑体"/>
                <w:sz w:val="18"/>
                <w:szCs w:val="18"/>
              </w:rPr>
            </w:pPr>
            <w:r>
              <w:rPr>
                <w:rFonts w:ascii="黑体" w:hAnsi="黑体" w:eastAsia="黑体" w:cs="黑体"/>
                <w:spacing w:val="-3"/>
                <w:sz w:val="18"/>
                <w:szCs w:val="18"/>
              </w:rPr>
              <w:t>青年创新</w:t>
            </w:r>
          </w:p>
          <w:p w14:paraId="4FFB6F3D">
            <w:pPr>
              <w:spacing w:before="105" w:line="222" w:lineRule="auto"/>
              <w:ind w:left="254"/>
              <w:rPr>
                <w:rFonts w:ascii="黑体" w:hAnsi="黑体" w:eastAsia="黑体" w:cs="黑体"/>
                <w:sz w:val="18"/>
                <w:szCs w:val="18"/>
              </w:rPr>
            </w:pPr>
            <w:r>
              <w:rPr>
                <w:rFonts w:ascii="黑体" w:hAnsi="黑体" w:eastAsia="黑体" w:cs="黑体"/>
                <w:spacing w:val="-4"/>
                <w:sz w:val="18"/>
                <w:szCs w:val="18"/>
              </w:rPr>
              <w:t>专项赛</w:t>
            </w:r>
          </w:p>
          <w:p w14:paraId="4C16AD4A">
            <w:pPr>
              <w:spacing w:before="103" w:line="216" w:lineRule="auto"/>
              <w:ind w:left="343"/>
              <w:rPr>
                <w:rFonts w:ascii="黑体" w:hAnsi="黑体" w:eastAsia="黑体" w:cs="黑体"/>
                <w:sz w:val="18"/>
                <w:szCs w:val="18"/>
              </w:rPr>
            </w:pPr>
            <w:r>
              <w:rPr>
                <w:rFonts w:ascii="黑体" w:hAnsi="黑体" w:eastAsia="黑体" w:cs="黑体"/>
                <w:spacing w:val="-5"/>
                <w:sz w:val="18"/>
                <w:szCs w:val="18"/>
              </w:rPr>
              <w:t>赛道</w:t>
            </w:r>
          </w:p>
        </w:tc>
      </w:tr>
      <w:tr w14:paraId="01427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669" w:type="dxa"/>
            <w:vAlign w:val="top"/>
          </w:tcPr>
          <w:p w14:paraId="43C100C1">
            <w:pPr>
              <w:pStyle w:val="6"/>
              <w:spacing w:before="245" w:line="237" w:lineRule="auto"/>
              <w:ind w:left="295"/>
            </w:pPr>
            <w:r>
              <w:t>1</w:t>
            </w:r>
          </w:p>
        </w:tc>
        <w:tc>
          <w:tcPr>
            <w:tcW w:w="1128" w:type="dxa"/>
            <w:vAlign w:val="top"/>
          </w:tcPr>
          <w:p w14:paraId="63D52256">
            <w:pPr>
              <w:pStyle w:val="6"/>
              <w:spacing w:before="246" w:line="222" w:lineRule="auto"/>
              <w:ind w:left="266"/>
            </w:pPr>
            <w:r>
              <w:rPr>
                <w:spacing w:val="-16"/>
              </w:rPr>
              <w:t>中山区</w:t>
            </w:r>
          </w:p>
        </w:tc>
        <w:tc>
          <w:tcPr>
            <w:tcW w:w="666" w:type="dxa"/>
            <w:vAlign w:val="top"/>
          </w:tcPr>
          <w:p w14:paraId="1964D359">
            <w:pPr>
              <w:pStyle w:val="6"/>
              <w:spacing w:before="245" w:line="237" w:lineRule="auto"/>
              <w:ind w:left="120"/>
            </w:pPr>
            <w:r>
              <w:rPr>
                <w:spacing w:val="-11"/>
              </w:rPr>
              <w:t>≥10</w:t>
            </w:r>
          </w:p>
        </w:tc>
        <w:tc>
          <w:tcPr>
            <w:tcW w:w="1334" w:type="dxa"/>
            <w:vAlign w:val="top"/>
          </w:tcPr>
          <w:p w14:paraId="5FE34DC5">
            <w:pPr>
              <w:pStyle w:val="6"/>
              <w:spacing w:before="245" w:line="237" w:lineRule="auto"/>
              <w:ind w:left="416"/>
            </w:pPr>
            <w:r>
              <w:rPr>
                <w:spacing w:val="-17"/>
              </w:rPr>
              <w:t>≥2</w:t>
            </w:r>
          </w:p>
        </w:tc>
        <w:tc>
          <w:tcPr>
            <w:tcW w:w="1349" w:type="dxa"/>
            <w:vAlign w:val="top"/>
          </w:tcPr>
          <w:p w14:paraId="63BEF3E1">
            <w:pPr>
              <w:pStyle w:val="6"/>
              <w:spacing w:before="245" w:line="237" w:lineRule="auto"/>
              <w:ind w:left="429"/>
            </w:pPr>
            <w:r>
              <w:rPr>
                <w:spacing w:val="-17"/>
              </w:rPr>
              <w:t>≥2</w:t>
            </w:r>
          </w:p>
        </w:tc>
        <w:tc>
          <w:tcPr>
            <w:tcW w:w="1289" w:type="dxa"/>
            <w:vAlign w:val="top"/>
          </w:tcPr>
          <w:p w14:paraId="48E44652">
            <w:pPr>
              <w:pStyle w:val="6"/>
              <w:spacing w:before="245" w:line="237" w:lineRule="auto"/>
              <w:ind w:left="481"/>
            </w:pPr>
            <w:r>
              <w:rPr>
                <w:spacing w:val="-17"/>
              </w:rPr>
              <w:t>≥2</w:t>
            </w:r>
          </w:p>
        </w:tc>
        <w:tc>
          <w:tcPr>
            <w:tcW w:w="1364" w:type="dxa"/>
            <w:vAlign w:val="top"/>
          </w:tcPr>
          <w:p w14:paraId="06EF5399">
            <w:pPr>
              <w:pStyle w:val="6"/>
              <w:spacing w:before="245" w:line="237" w:lineRule="auto"/>
              <w:ind w:left="433"/>
            </w:pPr>
            <w:r>
              <w:rPr>
                <w:spacing w:val="-17"/>
              </w:rPr>
              <w:t>≥2</w:t>
            </w:r>
          </w:p>
        </w:tc>
        <w:tc>
          <w:tcPr>
            <w:tcW w:w="1035" w:type="dxa"/>
            <w:vAlign w:val="top"/>
          </w:tcPr>
          <w:p w14:paraId="58F82329">
            <w:pPr>
              <w:pStyle w:val="6"/>
              <w:spacing w:before="245" w:line="237" w:lineRule="auto"/>
              <w:ind w:left="425"/>
            </w:pPr>
            <w:r>
              <w:rPr>
                <w:spacing w:val="-17"/>
              </w:rPr>
              <w:t>≥2</w:t>
            </w:r>
          </w:p>
        </w:tc>
      </w:tr>
      <w:tr w14:paraId="0EE42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669" w:type="dxa"/>
            <w:vAlign w:val="top"/>
          </w:tcPr>
          <w:p w14:paraId="6C8B3952">
            <w:pPr>
              <w:pStyle w:val="6"/>
              <w:spacing w:before="245" w:line="237" w:lineRule="auto"/>
              <w:ind w:left="280"/>
            </w:pPr>
            <w:r>
              <w:t>2</w:t>
            </w:r>
          </w:p>
        </w:tc>
        <w:tc>
          <w:tcPr>
            <w:tcW w:w="1128" w:type="dxa"/>
            <w:vAlign w:val="top"/>
          </w:tcPr>
          <w:p w14:paraId="1328FA43">
            <w:pPr>
              <w:pStyle w:val="6"/>
              <w:spacing w:before="245" w:line="223" w:lineRule="auto"/>
              <w:ind w:left="238"/>
            </w:pPr>
            <w:r>
              <w:rPr>
                <w:spacing w:val="-7"/>
              </w:rPr>
              <w:t>西岗区</w:t>
            </w:r>
          </w:p>
        </w:tc>
        <w:tc>
          <w:tcPr>
            <w:tcW w:w="666" w:type="dxa"/>
            <w:vAlign w:val="top"/>
          </w:tcPr>
          <w:p w14:paraId="08D7FCC7">
            <w:pPr>
              <w:pStyle w:val="6"/>
              <w:spacing w:before="245" w:line="237" w:lineRule="auto"/>
              <w:ind w:left="120"/>
            </w:pPr>
            <w:r>
              <w:rPr>
                <w:spacing w:val="-11"/>
              </w:rPr>
              <w:t>≥10</w:t>
            </w:r>
          </w:p>
        </w:tc>
        <w:tc>
          <w:tcPr>
            <w:tcW w:w="1334" w:type="dxa"/>
            <w:vAlign w:val="top"/>
          </w:tcPr>
          <w:p w14:paraId="0BF71AF2">
            <w:pPr>
              <w:pStyle w:val="6"/>
              <w:spacing w:before="245" w:line="237" w:lineRule="auto"/>
              <w:ind w:left="416"/>
            </w:pPr>
            <w:r>
              <w:rPr>
                <w:spacing w:val="-17"/>
              </w:rPr>
              <w:t>≥2</w:t>
            </w:r>
          </w:p>
        </w:tc>
        <w:tc>
          <w:tcPr>
            <w:tcW w:w="1349" w:type="dxa"/>
            <w:vAlign w:val="top"/>
          </w:tcPr>
          <w:p w14:paraId="41346A20">
            <w:pPr>
              <w:pStyle w:val="6"/>
              <w:spacing w:before="245" w:line="237" w:lineRule="auto"/>
              <w:ind w:left="429"/>
            </w:pPr>
            <w:r>
              <w:rPr>
                <w:spacing w:val="-17"/>
              </w:rPr>
              <w:t>≥2</w:t>
            </w:r>
          </w:p>
        </w:tc>
        <w:tc>
          <w:tcPr>
            <w:tcW w:w="1289" w:type="dxa"/>
            <w:vAlign w:val="top"/>
          </w:tcPr>
          <w:p w14:paraId="3D0B7746">
            <w:pPr>
              <w:pStyle w:val="6"/>
              <w:spacing w:before="245" w:line="237" w:lineRule="auto"/>
              <w:ind w:left="481"/>
            </w:pPr>
            <w:r>
              <w:rPr>
                <w:spacing w:val="-17"/>
              </w:rPr>
              <w:t>≥2</w:t>
            </w:r>
          </w:p>
        </w:tc>
        <w:tc>
          <w:tcPr>
            <w:tcW w:w="1364" w:type="dxa"/>
            <w:vAlign w:val="top"/>
          </w:tcPr>
          <w:p w14:paraId="220BCAC1">
            <w:pPr>
              <w:pStyle w:val="6"/>
              <w:spacing w:before="245" w:line="237" w:lineRule="auto"/>
              <w:ind w:left="433"/>
            </w:pPr>
            <w:r>
              <w:rPr>
                <w:spacing w:val="-17"/>
              </w:rPr>
              <w:t>≥2</w:t>
            </w:r>
          </w:p>
        </w:tc>
        <w:tc>
          <w:tcPr>
            <w:tcW w:w="1035" w:type="dxa"/>
            <w:vAlign w:val="top"/>
          </w:tcPr>
          <w:p w14:paraId="78385EE5">
            <w:pPr>
              <w:pStyle w:val="6"/>
              <w:spacing w:before="245" w:line="237" w:lineRule="auto"/>
              <w:ind w:left="425"/>
            </w:pPr>
            <w:r>
              <w:rPr>
                <w:spacing w:val="-17"/>
              </w:rPr>
              <w:t>≥2</w:t>
            </w:r>
          </w:p>
        </w:tc>
      </w:tr>
      <w:tr w14:paraId="07604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669" w:type="dxa"/>
            <w:vAlign w:val="top"/>
          </w:tcPr>
          <w:p w14:paraId="0F34A87F">
            <w:pPr>
              <w:pStyle w:val="6"/>
              <w:spacing w:before="247" w:line="236" w:lineRule="auto"/>
              <w:ind w:left="282"/>
            </w:pPr>
            <w:r>
              <w:t>3</w:t>
            </w:r>
          </w:p>
        </w:tc>
        <w:tc>
          <w:tcPr>
            <w:tcW w:w="1128" w:type="dxa"/>
            <w:vAlign w:val="top"/>
          </w:tcPr>
          <w:p w14:paraId="4051836B">
            <w:pPr>
              <w:pStyle w:val="6"/>
              <w:spacing w:before="247" w:line="223" w:lineRule="auto"/>
              <w:ind w:right="14"/>
              <w:jc w:val="right"/>
            </w:pPr>
            <w:r>
              <w:rPr>
                <w:spacing w:val="-11"/>
              </w:rPr>
              <w:t>沙河</w:t>
            </w:r>
            <w:r>
              <w:rPr>
                <w:spacing w:val="-61"/>
              </w:rPr>
              <w:t xml:space="preserve"> </w:t>
            </w:r>
            <w:r>
              <w:rPr>
                <w:spacing w:val="-11"/>
              </w:rPr>
              <w:t>口区</w:t>
            </w:r>
          </w:p>
        </w:tc>
        <w:tc>
          <w:tcPr>
            <w:tcW w:w="666" w:type="dxa"/>
            <w:vAlign w:val="top"/>
          </w:tcPr>
          <w:p w14:paraId="53EA6262">
            <w:pPr>
              <w:pStyle w:val="6"/>
              <w:spacing w:before="247" w:line="236" w:lineRule="auto"/>
              <w:ind w:left="120"/>
            </w:pPr>
            <w:r>
              <w:rPr>
                <w:spacing w:val="-11"/>
              </w:rPr>
              <w:t>≥12</w:t>
            </w:r>
          </w:p>
        </w:tc>
        <w:tc>
          <w:tcPr>
            <w:tcW w:w="1334" w:type="dxa"/>
            <w:vAlign w:val="top"/>
          </w:tcPr>
          <w:p w14:paraId="7E212CCA">
            <w:pPr>
              <w:pStyle w:val="6"/>
              <w:spacing w:before="247" w:line="236" w:lineRule="auto"/>
              <w:ind w:left="416"/>
            </w:pPr>
            <w:r>
              <w:rPr>
                <w:spacing w:val="-17"/>
              </w:rPr>
              <w:t>≥2</w:t>
            </w:r>
          </w:p>
        </w:tc>
        <w:tc>
          <w:tcPr>
            <w:tcW w:w="1349" w:type="dxa"/>
            <w:vAlign w:val="top"/>
          </w:tcPr>
          <w:p w14:paraId="1A040460">
            <w:pPr>
              <w:pStyle w:val="6"/>
              <w:spacing w:before="247" w:line="236" w:lineRule="auto"/>
              <w:ind w:left="429"/>
            </w:pPr>
            <w:r>
              <w:rPr>
                <w:spacing w:val="-17"/>
              </w:rPr>
              <w:t>≥2</w:t>
            </w:r>
          </w:p>
        </w:tc>
        <w:tc>
          <w:tcPr>
            <w:tcW w:w="1289" w:type="dxa"/>
            <w:vAlign w:val="top"/>
          </w:tcPr>
          <w:p w14:paraId="45485326">
            <w:pPr>
              <w:pStyle w:val="6"/>
              <w:spacing w:before="247" w:line="236" w:lineRule="auto"/>
              <w:ind w:left="481"/>
            </w:pPr>
            <w:r>
              <w:rPr>
                <w:spacing w:val="-17"/>
              </w:rPr>
              <w:t>≥2</w:t>
            </w:r>
          </w:p>
        </w:tc>
        <w:tc>
          <w:tcPr>
            <w:tcW w:w="1364" w:type="dxa"/>
            <w:vAlign w:val="top"/>
          </w:tcPr>
          <w:p w14:paraId="269E7442">
            <w:pPr>
              <w:pStyle w:val="6"/>
              <w:spacing w:before="247" w:line="236" w:lineRule="auto"/>
              <w:ind w:left="433"/>
            </w:pPr>
            <w:r>
              <w:rPr>
                <w:spacing w:val="-17"/>
              </w:rPr>
              <w:t>≥2</w:t>
            </w:r>
          </w:p>
        </w:tc>
        <w:tc>
          <w:tcPr>
            <w:tcW w:w="1035" w:type="dxa"/>
            <w:vAlign w:val="top"/>
          </w:tcPr>
          <w:p w14:paraId="7A510F7F">
            <w:pPr>
              <w:pStyle w:val="6"/>
              <w:spacing w:before="247" w:line="236" w:lineRule="auto"/>
              <w:ind w:left="425"/>
            </w:pPr>
            <w:r>
              <w:rPr>
                <w:spacing w:val="-17"/>
              </w:rPr>
              <w:t>≥4</w:t>
            </w:r>
          </w:p>
        </w:tc>
      </w:tr>
      <w:tr w14:paraId="51492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669" w:type="dxa"/>
            <w:vAlign w:val="top"/>
          </w:tcPr>
          <w:p w14:paraId="01C0436A">
            <w:pPr>
              <w:pStyle w:val="6"/>
              <w:spacing w:before="246" w:line="237" w:lineRule="auto"/>
              <w:ind w:left="276"/>
            </w:pPr>
            <w:r>
              <w:t>4</w:t>
            </w:r>
          </w:p>
        </w:tc>
        <w:tc>
          <w:tcPr>
            <w:tcW w:w="1128" w:type="dxa"/>
            <w:vAlign w:val="top"/>
          </w:tcPr>
          <w:p w14:paraId="7A8F6849">
            <w:pPr>
              <w:pStyle w:val="6"/>
              <w:spacing w:before="247" w:line="222" w:lineRule="auto"/>
              <w:ind w:left="129"/>
            </w:pPr>
            <w:r>
              <w:rPr>
                <w:spacing w:val="-5"/>
              </w:rPr>
              <w:t>甘井子区</w:t>
            </w:r>
          </w:p>
        </w:tc>
        <w:tc>
          <w:tcPr>
            <w:tcW w:w="666" w:type="dxa"/>
            <w:vAlign w:val="top"/>
          </w:tcPr>
          <w:p w14:paraId="47D30434">
            <w:pPr>
              <w:pStyle w:val="6"/>
              <w:spacing w:before="246" w:line="237" w:lineRule="auto"/>
              <w:ind w:left="120"/>
            </w:pPr>
            <w:r>
              <w:rPr>
                <w:spacing w:val="-11"/>
              </w:rPr>
              <w:t>≥14</w:t>
            </w:r>
          </w:p>
        </w:tc>
        <w:tc>
          <w:tcPr>
            <w:tcW w:w="1334" w:type="dxa"/>
            <w:vAlign w:val="top"/>
          </w:tcPr>
          <w:p w14:paraId="6B524795">
            <w:pPr>
              <w:pStyle w:val="6"/>
              <w:spacing w:before="246" w:line="237" w:lineRule="auto"/>
              <w:ind w:left="416"/>
            </w:pPr>
            <w:r>
              <w:rPr>
                <w:spacing w:val="-17"/>
              </w:rPr>
              <w:t>≥3</w:t>
            </w:r>
          </w:p>
        </w:tc>
        <w:tc>
          <w:tcPr>
            <w:tcW w:w="1349" w:type="dxa"/>
            <w:vAlign w:val="top"/>
          </w:tcPr>
          <w:p w14:paraId="767A13A9">
            <w:pPr>
              <w:pStyle w:val="6"/>
              <w:spacing w:before="246" w:line="237" w:lineRule="auto"/>
              <w:ind w:left="429"/>
            </w:pPr>
            <w:r>
              <w:rPr>
                <w:spacing w:val="-17"/>
              </w:rPr>
              <w:t>≥3</w:t>
            </w:r>
          </w:p>
        </w:tc>
        <w:tc>
          <w:tcPr>
            <w:tcW w:w="1289" w:type="dxa"/>
            <w:vAlign w:val="top"/>
          </w:tcPr>
          <w:p w14:paraId="61868D3C">
            <w:pPr>
              <w:pStyle w:val="6"/>
              <w:spacing w:before="246" w:line="237" w:lineRule="auto"/>
              <w:ind w:left="481"/>
            </w:pPr>
            <w:r>
              <w:rPr>
                <w:spacing w:val="-17"/>
              </w:rPr>
              <w:t>≥2</w:t>
            </w:r>
          </w:p>
        </w:tc>
        <w:tc>
          <w:tcPr>
            <w:tcW w:w="1364" w:type="dxa"/>
            <w:vAlign w:val="top"/>
          </w:tcPr>
          <w:p w14:paraId="42615C2B">
            <w:pPr>
              <w:pStyle w:val="6"/>
              <w:spacing w:before="246" w:line="237" w:lineRule="auto"/>
              <w:ind w:left="433"/>
            </w:pPr>
            <w:r>
              <w:rPr>
                <w:spacing w:val="-17"/>
              </w:rPr>
              <w:t>≥2</w:t>
            </w:r>
          </w:p>
        </w:tc>
        <w:tc>
          <w:tcPr>
            <w:tcW w:w="1035" w:type="dxa"/>
            <w:vAlign w:val="top"/>
          </w:tcPr>
          <w:p w14:paraId="70D048EA">
            <w:pPr>
              <w:pStyle w:val="6"/>
              <w:spacing w:before="246" w:line="237" w:lineRule="auto"/>
              <w:ind w:left="425"/>
            </w:pPr>
            <w:r>
              <w:rPr>
                <w:spacing w:val="-17"/>
              </w:rPr>
              <w:t>≥4</w:t>
            </w:r>
          </w:p>
        </w:tc>
      </w:tr>
      <w:tr w14:paraId="295EF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669" w:type="dxa"/>
            <w:vAlign w:val="top"/>
          </w:tcPr>
          <w:p w14:paraId="6A7D6994">
            <w:pPr>
              <w:pStyle w:val="6"/>
              <w:spacing w:before="248" w:line="236" w:lineRule="auto"/>
              <w:ind w:left="282"/>
            </w:pPr>
            <w:r>
              <w:t>5</w:t>
            </w:r>
          </w:p>
        </w:tc>
        <w:tc>
          <w:tcPr>
            <w:tcW w:w="1128" w:type="dxa"/>
            <w:vAlign w:val="top"/>
          </w:tcPr>
          <w:p w14:paraId="38F6A5D8">
            <w:pPr>
              <w:pStyle w:val="6"/>
              <w:spacing w:before="249" w:line="222" w:lineRule="auto"/>
              <w:ind w:left="243"/>
            </w:pPr>
            <w:r>
              <w:rPr>
                <w:spacing w:val="-8"/>
              </w:rPr>
              <w:t>高新区</w:t>
            </w:r>
          </w:p>
        </w:tc>
        <w:tc>
          <w:tcPr>
            <w:tcW w:w="666" w:type="dxa"/>
            <w:vAlign w:val="top"/>
          </w:tcPr>
          <w:p w14:paraId="38447C7E">
            <w:pPr>
              <w:pStyle w:val="6"/>
              <w:spacing w:before="248" w:line="236" w:lineRule="auto"/>
              <w:ind w:left="120"/>
            </w:pPr>
            <w:r>
              <w:rPr>
                <w:spacing w:val="-11"/>
              </w:rPr>
              <w:t>≥14</w:t>
            </w:r>
          </w:p>
        </w:tc>
        <w:tc>
          <w:tcPr>
            <w:tcW w:w="1334" w:type="dxa"/>
            <w:vAlign w:val="top"/>
          </w:tcPr>
          <w:p w14:paraId="509F89DA">
            <w:pPr>
              <w:pStyle w:val="6"/>
              <w:spacing w:before="248" w:line="236" w:lineRule="auto"/>
              <w:ind w:left="416"/>
            </w:pPr>
            <w:r>
              <w:rPr>
                <w:spacing w:val="-17"/>
              </w:rPr>
              <w:t>≥3</w:t>
            </w:r>
          </w:p>
        </w:tc>
        <w:tc>
          <w:tcPr>
            <w:tcW w:w="1349" w:type="dxa"/>
            <w:vAlign w:val="top"/>
          </w:tcPr>
          <w:p w14:paraId="507681D5">
            <w:pPr>
              <w:pStyle w:val="6"/>
              <w:spacing w:before="248" w:line="236" w:lineRule="auto"/>
              <w:ind w:left="429"/>
            </w:pPr>
            <w:r>
              <w:rPr>
                <w:spacing w:val="-17"/>
              </w:rPr>
              <w:t>≥3</w:t>
            </w:r>
          </w:p>
        </w:tc>
        <w:tc>
          <w:tcPr>
            <w:tcW w:w="1289" w:type="dxa"/>
            <w:vAlign w:val="top"/>
          </w:tcPr>
          <w:p w14:paraId="5A0034EF">
            <w:pPr>
              <w:pStyle w:val="6"/>
              <w:spacing w:before="248" w:line="236" w:lineRule="auto"/>
              <w:ind w:left="481"/>
            </w:pPr>
            <w:r>
              <w:rPr>
                <w:spacing w:val="-17"/>
              </w:rPr>
              <w:t>≥2</w:t>
            </w:r>
          </w:p>
        </w:tc>
        <w:tc>
          <w:tcPr>
            <w:tcW w:w="1364" w:type="dxa"/>
            <w:vAlign w:val="top"/>
          </w:tcPr>
          <w:p w14:paraId="26F0DF3F">
            <w:pPr>
              <w:pStyle w:val="6"/>
              <w:spacing w:before="248" w:line="236" w:lineRule="auto"/>
              <w:ind w:left="433"/>
            </w:pPr>
            <w:r>
              <w:rPr>
                <w:spacing w:val="-17"/>
              </w:rPr>
              <w:t>≥2</w:t>
            </w:r>
          </w:p>
        </w:tc>
        <w:tc>
          <w:tcPr>
            <w:tcW w:w="1035" w:type="dxa"/>
            <w:vAlign w:val="top"/>
          </w:tcPr>
          <w:p w14:paraId="340425ED">
            <w:pPr>
              <w:pStyle w:val="6"/>
              <w:spacing w:before="248" w:line="236" w:lineRule="auto"/>
              <w:ind w:left="425"/>
            </w:pPr>
            <w:r>
              <w:rPr>
                <w:spacing w:val="-17"/>
              </w:rPr>
              <w:t>≥4</w:t>
            </w:r>
          </w:p>
        </w:tc>
      </w:tr>
      <w:tr w14:paraId="04D2B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669" w:type="dxa"/>
            <w:vAlign w:val="top"/>
          </w:tcPr>
          <w:p w14:paraId="59EB44D3">
            <w:pPr>
              <w:pStyle w:val="6"/>
              <w:spacing w:before="246" w:line="237" w:lineRule="auto"/>
              <w:ind w:left="279"/>
            </w:pPr>
            <w:r>
              <w:t>6</w:t>
            </w:r>
          </w:p>
        </w:tc>
        <w:tc>
          <w:tcPr>
            <w:tcW w:w="1128" w:type="dxa"/>
            <w:vAlign w:val="top"/>
          </w:tcPr>
          <w:p w14:paraId="75ECEA5C">
            <w:pPr>
              <w:pStyle w:val="6"/>
              <w:spacing w:before="247" w:line="222" w:lineRule="auto"/>
              <w:ind w:left="127"/>
            </w:pPr>
            <w:r>
              <w:rPr>
                <w:spacing w:val="-4"/>
              </w:rPr>
              <w:t>金普新区</w:t>
            </w:r>
          </w:p>
        </w:tc>
        <w:tc>
          <w:tcPr>
            <w:tcW w:w="666" w:type="dxa"/>
            <w:vAlign w:val="top"/>
          </w:tcPr>
          <w:p w14:paraId="0D8A4C2A">
            <w:pPr>
              <w:pStyle w:val="6"/>
              <w:spacing w:before="246" w:line="237" w:lineRule="auto"/>
              <w:ind w:left="120"/>
            </w:pPr>
            <w:r>
              <w:rPr>
                <w:spacing w:val="-11"/>
              </w:rPr>
              <w:t>≥20</w:t>
            </w:r>
          </w:p>
        </w:tc>
        <w:tc>
          <w:tcPr>
            <w:tcW w:w="1334" w:type="dxa"/>
            <w:vAlign w:val="top"/>
          </w:tcPr>
          <w:p w14:paraId="15A79C7C">
            <w:pPr>
              <w:pStyle w:val="6"/>
              <w:spacing w:before="246" w:line="237" w:lineRule="auto"/>
              <w:ind w:left="416"/>
            </w:pPr>
            <w:r>
              <w:rPr>
                <w:spacing w:val="-17"/>
              </w:rPr>
              <w:t>≥4</w:t>
            </w:r>
          </w:p>
        </w:tc>
        <w:tc>
          <w:tcPr>
            <w:tcW w:w="1349" w:type="dxa"/>
            <w:vAlign w:val="top"/>
          </w:tcPr>
          <w:p w14:paraId="7B540E7A">
            <w:pPr>
              <w:pStyle w:val="6"/>
              <w:spacing w:before="246" w:line="237" w:lineRule="auto"/>
              <w:ind w:left="429"/>
            </w:pPr>
            <w:r>
              <w:rPr>
                <w:spacing w:val="-17"/>
              </w:rPr>
              <w:t>≥4</w:t>
            </w:r>
          </w:p>
        </w:tc>
        <w:tc>
          <w:tcPr>
            <w:tcW w:w="1289" w:type="dxa"/>
            <w:vAlign w:val="top"/>
          </w:tcPr>
          <w:p w14:paraId="4ADA9F8F">
            <w:pPr>
              <w:pStyle w:val="6"/>
              <w:spacing w:before="246" w:line="237" w:lineRule="auto"/>
              <w:ind w:left="481"/>
            </w:pPr>
            <w:r>
              <w:rPr>
                <w:spacing w:val="-17"/>
              </w:rPr>
              <w:t>≥4</w:t>
            </w:r>
          </w:p>
        </w:tc>
        <w:tc>
          <w:tcPr>
            <w:tcW w:w="1364" w:type="dxa"/>
            <w:vAlign w:val="top"/>
          </w:tcPr>
          <w:p w14:paraId="15992816">
            <w:pPr>
              <w:pStyle w:val="6"/>
              <w:spacing w:before="246" w:line="237" w:lineRule="auto"/>
              <w:ind w:left="433"/>
            </w:pPr>
            <w:r>
              <w:rPr>
                <w:spacing w:val="-17"/>
              </w:rPr>
              <w:t>≥4</w:t>
            </w:r>
          </w:p>
        </w:tc>
        <w:tc>
          <w:tcPr>
            <w:tcW w:w="1035" w:type="dxa"/>
            <w:vAlign w:val="top"/>
          </w:tcPr>
          <w:p w14:paraId="451422EF">
            <w:pPr>
              <w:pStyle w:val="6"/>
              <w:spacing w:before="246" w:line="237" w:lineRule="auto"/>
              <w:ind w:left="425"/>
            </w:pPr>
            <w:r>
              <w:rPr>
                <w:spacing w:val="-17"/>
              </w:rPr>
              <w:t>≥4</w:t>
            </w:r>
          </w:p>
        </w:tc>
      </w:tr>
      <w:tr w14:paraId="3FCE3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669" w:type="dxa"/>
            <w:vAlign w:val="top"/>
          </w:tcPr>
          <w:p w14:paraId="31B03BA6">
            <w:pPr>
              <w:pStyle w:val="6"/>
              <w:spacing w:before="248" w:line="236" w:lineRule="auto"/>
              <w:ind w:left="283"/>
            </w:pPr>
            <w:r>
              <w:t>7</w:t>
            </w:r>
          </w:p>
        </w:tc>
        <w:tc>
          <w:tcPr>
            <w:tcW w:w="1128" w:type="dxa"/>
            <w:vAlign w:val="top"/>
          </w:tcPr>
          <w:p w14:paraId="343F7278">
            <w:pPr>
              <w:pStyle w:val="6"/>
              <w:spacing w:before="249" w:line="224" w:lineRule="auto"/>
              <w:ind w:right="14"/>
              <w:jc w:val="right"/>
            </w:pPr>
            <w:r>
              <w:rPr>
                <w:spacing w:val="-10"/>
              </w:rPr>
              <w:t>旅顺</w:t>
            </w:r>
            <w:r>
              <w:rPr>
                <w:spacing w:val="-60"/>
              </w:rPr>
              <w:t xml:space="preserve"> </w:t>
            </w:r>
            <w:r>
              <w:rPr>
                <w:spacing w:val="-10"/>
              </w:rPr>
              <w:t>口区</w:t>
            </w:r>
          </w:p>
        </w:tc>
        <w:tc>
          <w:tcPr>
            <w:tcW w:w="666" w:type="dxa"/>
            <w:vAlign w:val="top"/>
          </w:tcPr>
          <w:p w14:paraId="4B9D6E36">
            <w:pPr>
              <w:pStyle w:val="6"/>
              <w:spacing w:before="248" w:line="236" w:lineRule="auto"/>
              <w:ind w:left="180"/>
            </w:pPr>
            <w:r>
              <w:rPr>
                <w:spacing w:val="-17"/>
              </w:rPr>
              <w:t>≥8</w:t>
            </w:r>
          </w:p>
        </w:tc>
        <w:tc>
          <w:tcPr>
            <w:tcW w:w="1334" w:type="dxa"/>
            <w:vAlign w:val="top"/>
          </w:tcPr>
          <w:p w14:paraId="483A59C4">
            <w:pPr>
              <w:pStyle w:val="6"/>
              <w:spacing w:before="248" w:line="236" w:lineRule="auto"/>
              <w:ind w:left="416"/>
            </w:pPr>
            <w:r>
              <w:rPr>
                <w:spacing w:val="-17"/>
              </w:rPr>
              <w:t>≥1</w:t>
            </w:r>
          </w:p>
        </w:tc>
        <w:tc>
          <w:tcPr>
            <w:tcW w:w="1349" w:type="dxa"/>
            <w:vAlign w:val="top"/>
          </w:tcPr>
          <w:p w14:paraId="6A495D2B">
            <w:pPr>
              <w:pStyle w:val="6"/>
              <w:spacing w:before="248" w:line="236" w:lineRule="auto"/>
              <w:ind w:left="429"/>
            </w:pPr>
            <w:r>
              <w:rPr>
                <w:spacing w:val="-17"/>
              </w:rPr>
              <w:t>≥1</w:t>
            </w:r>
          </w:p>
        </w:tc>
        <w:tc>
          <w:tcPr>
            <w:tcW w:w="1289" w:type="dxa"/>
            <w:vAlign w:val="top"/>
          </w:tcPr>
          <w:p w14:paraId="7250FDD1">
            <w:pPr>
              <w:pStyle w:val="6"/>
              <w:spacing w:before="248" w:line="236" w:lineRule="auto"/>
              <w:ind w:left="431"/>
            </w:pPr>
            <w:r>
              <w:rPr>
                <w:spacing w:val="-17"/>
              </w:rPr>
              <w:t>≥2</w:t>
            </w:r>
          </w:p>
        </w:tc>
        <w:tc>
          <w:tcPr>
            <w:tcW w:w="1364" w:type="dxa"/>
            <w:vAlign w:val="top"/>
          </w:tcPr>
          <w:p w14:paraId="2E12D501">
            <w:pPr>
              <w:pStyle w:val="6"/>
              <w:spacing w:before="248" w:line="236" w:lineRule="auto"/>
              <w:ind w:left="433"/>
            </w:pPr>
            <w:r>
              <w:rPr>
                <w:spacing w:val="-17"/>
              </w:rPr>
              <w:t>≥2</w:t>
            </w:r>
          </w:p>
        </w:tc>
        <w:tc>
          <w:tcPr>
            <w:tcW w:w="1035" w:type="dxa"/>
            <w:vAlign w:val="top"/>
          </w:tcPr>
          <w:p w14:paraId="732D3C0B">
            <w:pPr>
              <w:pStyle w:val="6"/>
              <w:spacing w:before="248" w:line="236" w:lineRule="auto"/>
              <w:ind w:left="425"/>
            </w:pPr>
            <w:r>
              <w:rPr>
                <w:spacing w:val="-17"/>
              </w:rPr>
              <w:t>≥2</w:t>
            </w:r>
          </w:p>
        </w:tc>
      </w:tr>
      <w:tr w14:paraId="1C499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669" w:type="dxa"/>
            <w:vAlign w:val="top"/>
          </w:tcPr>
          <w:p w14:paraId="60042B98">
            <w:pPr>
              <w:pStyle w:val="6"/>
              <w:spacing w:before="246" w:line="237" w:lineRule="auto"/>
              <w:ind w:left="278"/>
            </w:pPr>
            <w:r>
              <w:t>8</w:t>
            </w:r>
          </w:p>
        </w:tc>
        <w:tc>
          <w:tcPr>
            <w:tcW w:w="1128" w:type="dxa"/>
            <w:vAlign w:val="top"/>
          </w:tcPr>
          <w:p w14:paraId="4F491A4D">
            <w:pPr>
              <w:pStyle w:val="6"/>
              <w:spacing w:before="247" w:line="222" w:lineRule="auto"/>
              <w:ind w:left="130"/>
            </w:pPr>
            <w:r>
              <w:rPr>
                <w:spacing w:val="-5"/>
              </w:rPr>
              <w:t>普兰店区</w:t>
            </w:r>
          </w:p>
        </w:tc>
        <w:tc>
          <w:tcPr>
            <w:tcW w:w="666" w:type="dxa"/>
            <w:vAlign w:val="top"/>
          </w:tcPr>
          <w:p w14:paraId="39452C07">
            <w:pPr>
              <w:pStyle w:val="6"/>
              <w:spacing w:before="246" w:line="237" w:lineRule="auto"/>
              <w:ind w:left="180"/>
            </w:pPr>
            <w:r>
              <w:rPr>
                <w:spacing w:val="-17"/>
              </w:rPr>
              <w:t>≥8</w:t>
            </w:r>
          </w:p>
        </w:tc>
        <w:tc>
          <w:tcPr>
            <w:tcW w:w="1334" w:type="dxa"/>
            <w:vAlign w:val="top"/>
          </w:tcPr>
          <w:p w14:paraId="43C42A64">
            <w:pPr>
              <w:pStyle w:val="6"/>
              <w:spacing w:before="246" w:line="237" w:lineRule="auto"/>
              <w:ind w:left="416"/>
            </w:pPr>
            <w:r>
              <w:rPr>
                <w:spacing w:val="-17"/>
              </w:rPr>
              <w:t>≥1</w:t>
            </w:r>
          </w:p>
        </w:tc>
        <w:tc>
          <w:tcPr>
            <w:tcW w:w="1349" w:type="dxa"/>
            <w:vAlign w:val="top"/>
          </w:tcPr>
          <w:p w14:paraId="0A3A141E">
            <w:pPr>
              <w:pStyle w:val="6"/>
              <w:spacing w:before="246" w:line="237" w:lineRule="auto"/>
              <w:ind w:left="429"/>
            </w:pPr>
            <w:r>
              <w:rPr>
                <w:spacing w:val="-17"/>
              </w:rPr>
              <w:t>≥1</w:t>
            </w:r>
          </w:p>
        </w:tc>
        <w:tc>
          <w:tcPr>
            <w:tcW w:w="1289" w:type="dxa"/>
            <w:vAlign w:val="top"/>
          </w:tcPr>
          <w:p w14:paraId="1E6B327F">
            <w:pPr>
              <w:pStyle w:val="6"/>
              <w:spacing w:before="246" w:line="237" w:lineRule="auto"/>
              <w:ind w:left="431"/>
            </w:pPr>
            <w:r>
              <w:rPr>
                <w:spacing w:val="-17"/>
              </w:rPr>
              <w:t>≥2</w:t>
            </w:r>
          </w:p>
        </w:tc>
        <w:tc>
          <w:tcPr>
            <w:tcW w:w="1364" w:type="dxa"/>
            <w:vAlign w:val="top"/>
          </w:tcPr>
          <w:p w14:paraId="57448C90">
            <w:pPr>
              <w:pStyle w:val="6"/>
              <w:spacing w:before="246" w:line="237" w:lineRule="auto"/>
              <w:ind w:left="433"/>
            </w:pPr>
            <w:r>
              <w:rPr>
                <w:spacing w:val="-17"/>
              </w:rPr>
              <w:t>≥2</w:t>
            </w:r>
          </w:p>
        </w:tc>
        <w:tc>
          <w:tcPr>
            <w:tcW w:w="1035" w:type="dxa"/>
            <w:vAlign w:val="top"/>
          </w:tcPr>
          <w:p w14:paraId="6B86B5A7">
            <w:pPr>
              <w:pStyle w:val="6"/>
              <w:spacing w:before="246" w:line="237" w:lineRule="auto"/>
              <w:ind w:left="425"/>
            </w:pPr>
            <w:r>
              <w:rPr>
                <w:spacing w:val="-17"/>
              </w:rPr>
              <w:t>≥2</w:t>
            </w:r>
          </w:p>
        </w:tc>
      </w:tr>
      <w:tr w14:paraId="2C01B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669" w:type="dxa"/>
            <w:vAlign w:val="top"/>
          </w:tcPr>
          <w:p w14:paraId="74F44639">
            <w:pPr>
              <w:pStyle w:val="6"/>
              <w:spacing w:before="248" w:line="236" w:lineRule="auto"/>
              <w:ind w:left="278"/>
            </w:pPr>
            <w:r>
              <w:t>9</w:t>
            </w:r>
          </w:p>
        </w:tc>
        <w:tc>
          <w:tcPr>
            <w:tcW w:w="1128" w:type="dxa"/>
            <w:vAlign w:val="top"/>
          </w:tcPr>
          <w:p w14:paraId="7EC40F06">
            <w:pPr>
              <w:pStyle w:val="6"/>
              <w:spacing w:before="249" w:line="222" w:lineRule="auto"/>
              <w:ind w:left="136"/>
            </w:pPr>
            <w:r>
              <w:rPr>
                <w:spacing w:val="-7"/>
              </w:rPr>
              <w:t>瓦房店市</w:t>
            </w:r>
          </w:p>
        </w:tc>
        <w:tc>
          <w:tcPr>
            <w:tcW w:w="666" w:type="dxa"/>
            <w:vAlign w:val="top"/>
          </w:tcPr>
          <w:p w14:paraId="411260CC">
            <w:pPr>
              <w:pStyle w:val="6"/>
              <w:spacing w:before="248" w:line="236" w:lineRule="auto"/>
              <w:ind w:left="180"/>
            </w:pPr>
            <w:r>
              <w:rPr>
                <w:spacing w:val="-17"/>
              </w:rPr>
              <w:t>≥8</w:t>
            </w:r>
          </w:p>
        </w:tc>
        <w:tc>
          <w:tcPr>
            <w:tcW w:w="1334" w:type="dxa"/>
            <w:vAlign w:val="top"/>
          </w:tcPr>
          <w:p w14:paraId="7C17139C">
            <w:pPr>
              <w:pStyle w:val="6"/>
              <w:spacing w:before="248" w:line="236" w:lineRule="auto"/>
              <w:ind w:left="416"/>
            </w:pPr>
            <w:r>
              <w:rPr>
                <w:spacing w:val="-17"/>
              </w:rPr>
              <w:t>≥1</w:t>
            </w:r>
          </w:p>
        </w:tc>
        <w:tc>
          <w:tcPr>
            <w:tcW w:w="1349" w:type="dxa"/>
            <w:vAlign w:val="top"/>
          </w:tcPr>
          <w:p w14:paraId="0C2EA92D">
            <w:pPr>
              <w:pStyle w:val="6"/>
              <w:spacing w:before="248" w:line="236" w:lineRule="auto"/>
              <w:ind w:left="429"/>
            </w:pPr>
            <w:r>
              <w:rPr>
                <w:spacing w:val="-17"/>
              </w:rPr>
              <w:t>≥1</w:t>
            </w:r>
          </w:p>
        </w:tc>
        <w:tc>
          <w:tcPr>
            <w:tcW w:w="1289" w:type="dxa"/>
            <w:vAlign w:val="top"/>
          </w:tcPr>
          <w:p w14:paraId="4D094175">
            <w:pPr>
              <w:pStyle w:val="6"/>
              <w:spacing w:before="248" w:line="236" w:lineRule="auto"/>
              <w:ind w:left="431"/>
            </w:pPr>
            <w:r>
              <w:rPr>
                <w:spacing w:val="-17"/>
              </w:rPr>
              <w:t>≥2</w:t>
            </w:r>
          </w:p>
        </w:tc>
        <w:tc>
          <w:tcPr>
            <w:tcW w:w="1364" w:type="dxa"/>
            <w:vAlign w:val="top"/>
          </w:tcPr>
          <w:p w14:paraId="5F7A840B">
            <w:pPr>
              <w:pStyle w:val="6"/>
              <w:spacing w:before="248" w:line="236" w:lineRule="auto"/>
              <w:ind w:left="433"/>
            </w:pPr>
            <w:r>
              <w:rPr>
                <w:spacing w:val="-17"/>
              </w:rPr>
              <w:t>≥2</w:t>
            </w:r>
          </w:p>
        </w:tc>
        <w:tc>
          <w:tcPr>
            <w:tcW w:w="1035" w:type="dxa"/>
            <w:vAlign w:val="top"/>
          </w:tcPr>
          <w:p w14:paraId="7BFBB792">
            <w:pPr>
              <w:pStyle w:val="6"/>
              <w:spacing w:before="248" w:line="236" w:lineRule="auto"/>
              <w:ind w:left="425"/>
            </w:pPr>
            <w:r>
              <w:rPr>
                <w:spacing w:val="-17"/>
              </w:rPr>
              <w:t>≥2</w:t>
            </w:r>
          </w:p>
        </w:tc>
      </w:tr>
      <w:tr w14:paraId="3EF84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669" w:type="dxa"/>
            <w:vAlign w:val="top"/>
          </w:tcPr>
          <w:p w14:paraId="1A8977C5">
            <w:pPr>
              <w:pStyle w:val="6"/>
              <w:spacing w:before="247" w:line="238" w:lineRule="auto"/>
              <w:ind w:left="245"/>
            </w:pPr>
            <w:r>
              <w:rPr>
                <w:spacing w:val="-14"/>
              </w:rPr>
              <w:t>10</w:t>
            </w:r>
          </w:p>
        </w:tc>
        <w:tc>
          <w:tcPr>
            <w:tcW w:w="1128" w:type="dxa"/>
            <w:vAlign w:val="top"/>
          </w:tcPr>
          <w:p w14:paraId="27FFF7F2">
            <w:pPr>
              <w:pStyle w:val="6"/>
              <w:spacing w:before="247" w:line="222" w:lineRule="auto"/>
              <w:ind w:left="239"/>
            </w:pPr>
            <w:r>
              <w:rPr>
                <w:spacing w:val="-7"/>
              </w:rPr>
              <w:t>庄河市</w:t>
            </w:r>
          </w:p>
        </w:tc>
        <w:tc>
          <w:tcPr>
            <w:tcW w:w="666" w:type="dxa"/>
            <w:vAlign w:val="top"/>
          </w:tcPr>
          <w:p w14:paraId="28B3A778">
            <w:pPr>
              <w:pStyle w:val="6"/>
              <w:spacing w:before="247" w:line="238" w:lineRule="auto"/>
              <w:ind w:left="180"/>
            </w:pPr>
            <w:r>
              <w:rPr>
                <w:spacing w:val="-17"/>
              </w:rPr>
              <w:t>≥8</w:t>
            </w:r>
          </w:p>
        </w:tc>
        <w:tc>
          <w:tcPr>
            <w:tcW w:w="1334" w:type="dxa"/>
            <w:vAlign w:val="top"/>
          </w:tcPr>
          <w:p w14:paraId="7BD1DDDF">
            <w:pPr>
              <w:pStyle w:val="6"/>
              <w:spacing w:before="247" w:line="238" w:lineRule="auto"/>
              <w:ind w:left="416"/>
            </w:pPr>
            <w:r>
              <w:rPr>
                <w:spacing w:val="-17"/>
              </w:rPr>
              <w:t>≥1</w:t>
            </w:r>
          </w:p>
        </w:tc>
        <w:tc>
          <w:tcPr>
            <w:tcW w:w="1349" w:type="dxa"/>
            <w:vAlign w:val="top"/>
          </w:tcPr>
          <w:p w14:paraId="2C92BB13">
            <w:pPr>
              <w:pStyle w:val="6"/>
              <w:spacing w:before="247" w:line="238" w:lineRule="auto"/>
              <w:ind w:left="429"/>
            </w:pPr>
            <w:r>
              <w:rPr>
                <w:spacing w:val="-17"/>
              </w:rPr>
              <w:t>≥1</w:t>
            </w:r>
          </w:p>
        </w:tc>
        <w:tc>
          <w:tcPr>
            <w:tcW w:w="1289" w:type="dxa"/>
            <w:vAlign w:val="top"/>
          </w:tcPr>
          <w:p w14:paraId="30F44AF3">
            <w:pPr>
              <w:pStyle w:val="6"/>
              <w:spacing w:before="247" w:line="238" w:lineRule="auto"/>
              <w:ind w:left="431"/>
            </w:pPr>
            <w:r>
              <w:rPr>
                <w:spacing w:val="-17"/>
              </w:rPr>
              <w:t>≥2</w:t>
            </w:r>
          </w:p>
        </w:tc>
        <w:tc>
          <w:tcPr>
            <w:tcW w:w="1364" w:type="dxa"/>
            <w:vAlign w:val="top"/>
          </w:tcPr>
          <w:p w14:paraId="6370D3A4">
            <w:pPr>
              <w:pStyle w:val="6"/>
              <w:spacing w:before="247" w:line="238" w:lineRule="auto"/>
              <w:ind w:left="433"/>
            </w:pPr>
            <w:r>
              <w:rPr>
                <w:spacing w:val="-17"/>
              </w:rPr>
              <w:t>≥2</w:t>
            </w:r>
          </w:p>
        </w:tc>
        <w:tc>
          <w:tcPr>
            <w:tcW w:w="1035" w:type="dxa"/>
            <w:vAlign w:val="top"/>
          </w:tcPr>
          <w:p w14:paraId="18B5ADE5">
            <w:pPr>
              <w:pStyle w:val="6"/>
              <w:spacing w:before="247" w:line="238" w:lineRule="auto"/>
              <w:ind w:left="425"/>
            </w:pPr>
            <w:r>
              <w:rPr>
                <w:spacing w:val="-17"/>
              </w:rPr>
              <w:t>≥2</w:t>
            </w:r>
          </w:p>
        </w:tc>
      </w:tr>
    </w:tbl>
    <w:p w14:paraId="6D884C02">
      <w:pPr>
        <w:rPr>
          <w:rFonts w:ascii="Arial"/>
          <w:sz w:val="21"/>
        </w:rPr>
      </w:pPr>
    </w:p>
    <w:p w14:paraId="1519BF6C">
      <w:pPr>
        <w:rPr>
          <w:rFonts w:ascii="Arial" w:hAnsi="Arial" w:eastAsia="Arial" w:cs="Arial"/>
          <w:sz w:val="21"/>
          <w:szCs w:val="21"/>
        </w:rPr>
        <w:sectPr>
          <w:footerReference r:id="rId11" w:type="default"/>
          <w:pgSz w:w="11900" w:h="16840"/>
          <w:pgMar w:top="1431" w:right="1369" w:bottom="1306" w:left="1578" w:header="0" w:footer="943" w:gutter="0"/>
          <w:cols w:space="720" w:num="1"/>
        </w:sectPr>
      </w:pPr>
    </w:p>
    <w:p w14:paraId="4B73E617">
      <w:pPr>
        <w:spacing w:before="92"/>
      </w:pPr>
    </w:p>
    <w:p w14:paraId="313772A7">
      <w:pPr>
        <w:spacing w:before="91"/>
      </w:pPr>
    </w:p>
    <w:tbl>
      <w:tblPr>
        <w:tblStyle w:val="5"/>
        <w:tblW w:w="8834" w:type="dxa"/>
        <w:tblInd w:w="8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9"/>
        <w:gridCol w:w="1128"/>
        <w:gridCol w:w="666"/>
        <w:gridCol w:w="1334"/>
        <w:gridCol w:w="1349"/>
        <w:gridCol w:w="1289"/>
        <w:gridCol w:w="1364"/>
        <w:gridCol w:w="1035"/>
      </w:tblGrid>
      <w:tr w14:paraId="2958C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669" w:type="dxa"/>
            <w:vAlign w:val="top"/>
          </w:tcPr>
          <w:p w14:paraId="4C65735D">
            <w:pPr>
              <w:pStyle w:val="6"/>
              <w:spacing w:before="247" w:line="238" w:lineRule="auto"/>
              <w:ind w:left="245"/>
            </w:pPr>
            <w:r>
              <w:rPr>
                <w:spacing w:val="-14"/>
              </w:rPr>
              <w:t>11</w:t>
            </w:r>
          </w:p>
        </w:tc>
        <w:tc>
          <w:tcPr>
            <w:tcW w:w="1128" w:type="dxa"/>
            <w:vAlign w:val="top"/>
          </w:tcPr>
          <w:p w14:paraId="74E85AB0">
            <w:pPr>
              <w:pStyle w:val="6"/>
              <w:spacing w:before="247" w:line="223" w:lineRule="auto"/>
              <w:ind w:left="235"/>
            </w:pPr>
            <w:r>
              <w:rPr>
                <w:spacing w:val="-6"/>
              </w:rPr>
              <w:t>长海县</w:t>
            </w:r>
          </w:p>
        </w:tc>
        <w:tc>
          <w:tcPr>
            <w:tcW w:w="666" w:type="dxa"/>
            <w:vAlign w:val="top"/>
          </w:tcPr>
          <w:p w14:paraId="30F3FFC0">
            <w:pPr>
              <w:pStyle w:val="6"/>
              <w:spacing w:before="247" w:line="238" w:lineRule="auto"/>
              <w:ind w:left="180"/>
            </w:pPr>
            <w:r>
              <w:rPr>
                <w:spacing w:val="-17"/>
              </w:rPr>
              <w:t>≥4</w:t>
            </w:r>
          </w:p>
        </w:tc>
        <w:tc>
          <w:tcPr>
            <w:tcW w:w="1334" w:type="dxa"/>
            <w:vAlign w:val="top"/>
          </w:tcPr>
          <w:p w14:paraId="1CB4E86A">
            <w:pPr>
              <w:spacing w:line="282" w:lineRule="auto"/>
              <w:rPr>
                <w:rFonts w:ascii="Arial"/>
                <w:sz w:val="21"/>
              </w:rPr>
            </w:pPr>
          </w:p>
          <w:p w14:paraId="3C2AEDAB">
            <w:pPr>
              <w:pStyle w:val="6"/>
              <w:spacing w:before="78" w:line="161" w:lineRule="exact"/>
              <w:ind w:left="391"/>
            </w:pPr>
            <w:r>
              <w:rPr>
                <w:position w:val="-4"/>
              </w:rPr>
              <w:t>—</w:t>
            </w:r>
          </w:p>
        </w:tc>
        <w:tc>
          <w:tcPr>
            <w:tcW w:w="1349" w:type="dxa"/>
            <w:vAlign w:val="top"/>
          </w:tcPr>
          <w:p w14:paraId="3BF5C73E">
            <w:pPr>
              <w:pStyle w:val="6"/>
              <w:spacing w:before="247" w:line="238" w:lineRule="auto"/>
              <w:ind w:left="429"/>
            </w:pPr>
            <w:r>
              <w:rPr>
                <w:spacing w:val="-17"/>
              </w:rPr>
              <w:t>≥1</w:t>
            </w:r>
          </w:p>
        </w:tc>
        <w:tc>
          <w:tcPr>
            <w:tcW w:w="1289" w:type="dxa"/>
            <w:vAlign w:val="top"/>
          </w:tcPr>
          <w:p w14:paraId="5A04202D">
            <w:pPr>
              <w:pStyle w:val="6"/>
              <w:spacing w:before="247" w:line="238" w:lineRule="auto"/>
              <w:ind w:left="431"/>
            </w:pPr>
            <w:r>
              <w:rPr>
                <w:spacing w:val="-17"/>
              </w:rPr>
              <w:t>≥1</w:t>
            </w:r>
          </w:p>
        </w:tc>
        <w:tc>
          <w:tcPr>
            <w:tcW w:w="1364" w:type="dxa"/>
            <w:vAlign w:val="top"/>
          </w:tcPr>
          <w:p w14:paraId="01979E52">
            <w:pPr>
              <w:pStyle w:val="6"/>
              <w:spacing w:before="247" w:line="238" w:lineRule="auto"/>
              <w:ind w:left="433"/>
            </w:pPr>
            <w:r>
              <w:rPr>
                <w:spacing w:val="-17"/>
              </w:rPr>
              <w:t>≥1</w:t>
            </w:r>
          </w:p>
        </w:tc>
        <w:tc>
          <w:tcPr>
            <w:tcW w:w="1035" w:type="dxa"/>
            <w:vAlign w:val="top"/>
          </w:tcPr>
          <w:p w14:paraId="0F053677">
            <w:pPr>
              <w:pStyle w:val="6"/>
              <w:spacing w:before="247" w:line="238" w:lineRule="auto"/>
              <w:ind w:left="425"/>
            </w:pPr>
            <w:r>
              <w:rPr>
                <w:spacing w:val="-17"/>
              </w:rPr>
              <w:t>≥1</w:t>
            </w:r>
          </w:p>
        </w:tc>
      </w:tr>
      <w:tr w14:paraId="2A562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669" w:type="dxa"/>
            <w:vAlign w:val="top"/>
          </w:tcPr>
          <w:p w14:paraId="6ACA2CEC">
            <w:pPr>
              <w:pStyle w:val="6"/>
              <w:spacing w:before="244"/>
              <w:ind w:left="245"/>
            </w:pPr>
            <w:r>
              <w:rPr>
                <w:spacing w:val="-14"/>
              </w:rPr>
              <w:t>12</w:t>
            </w:r>
          </w:p>
        </w:tc>
        <w:tc>
          <w:tcPr>
            <w:tcW w:w="1128" w:type="dxa"/>
            <w:vAlign w:val="top"/>
          </w:tcPr>
          <w:p w14:paraId="305A91F1">
            <w:pPr>
              <w:pStyle w:val="6"/>
              <w:spacing w:before="244" w:line="224" w:lineRule="auto"/>
              <w:ind w:left="235"/>
            </w:pPr>
            <w:r>
              <w:rPr>
                <w:spacing w:val="-6"/>
              </w:rPr>
              <w:t>长兴岛</w:t>
            </w:r>
          </w:p>
        </w:tc>
        <w:tc>
          <w:tcPr>
            <w:tcW w:w="666" w:type="dxa"/>
            <w:vAlign w:val="top"/>
          </w:tcPr>
          <w:p w14:paraId="08F73702">
            <w:pPr>
              <w:pStyle w:val="6"/>
              <w:spacing w:before="244"/>
              <w:ind w:left="180"/>
            </w:pPr>
            <w:r>
              <w:rPr>
                <w:spacing w:val="-17"/>
              </w:rPr>
              <w:t>≥4</w:t>
            </w:r>
          </w:p>
        </w:tc>
        <w:tc>
          <w:tcPr>
            <w:tcW w:w="1334" w:type="dxa"/>
            <w:vAlign w:val="top"/>
          </w:tcPr>
          <w:p w14:paraId="65966A85">
            <w:pPr>
              <w:spacing w:line="278" w:lineRule="auto"/>
              <w:rPr>
                <w:rFonts w:ascii="Arial"/>
                <w:sz w:val="21"/>
              </w:rPr>
            </w:pPr>
          </w:p>
          <w:p w14:paraId="72609549">
            <w:pPr>
              <w:pStyle w:val="6"/>
              <w:spacing w:before="78" w:line="162" w:lineRule="exact"/>
              <w:ind w:left="391"/>
            </w:pPr>
            <w:r>
              <w:rPr>
                <w:position w:val="-4"/>
              </w:rPr>
              <w:t>—</w:t>
            </w:r>
          </w:p>
        </w:tc>
        <w:tc>
          <w:tcPr>
            <w:tcW w:w="1349" w:type="dxa"/>
            <w:vAlign w:val="top"/>
          </w:tcPr>
          <w:p w14:paraId="7C5C58CA">
            <w:pPr>
              <w:pStyle w:val="6"/>
              <w:spacing w:before="244"/>
              <w:ind w:left="429"/>
            </w:pPr>
            <w:r>
              <w:rPr>
                <w:spacing w:val="-17"/>
              </w:rPr>
              <w:t>≥1</w:t>
            </w:r>
          </w:p>
        </w:tc>
        <w:tc>
          <w:tcPr>
            <w:tcW w:w="1289" w:type="dxa"/>
            <w:vAlign w:val="top"/>
          </w:tcPr>
          <w:p w14:paraId="4189B75E">
            <w:pPr>
              <w:pStyle w:val="6"/>
              <w:spacing w:before="244"/>
              <w:ind w:left="481"/>
            </w:pPr>
            <w:r>
              <w:rPr>
                <w:spacing w:val="-17"/>
              </w:rPr>
              <w:t>≥1</w:t>
            </w:r>
          </w:p>
        </w:tc>
        <w:tc>
          <w:tcPr>
            <w:tcW w:w="1364" w:type="dxa"/>
            <w:vAlign w:val="top"/>
          </w:tcPr>
          <w:p w14:paraId="746E9EF1">
            <w:pPr>
              <w:pStyle w:val="6"/>
              <w:spacing w:before="244"/>
              <w:ind w:left="433"/>
            </w:pPr>
            <w:r>
              <w:rPr>
                <w:spacing w:val="-17"/>
              </w:rPr>
              <w:t>≥1</w:t>
            </w:r>
          </w:p>
        </w:tc>
        <w:tc>
          <w:tcPr>
            <w:tcW w:w="1035" w:type="dxa"/>
            <w:vAlign w:val="top"/>
          </w:tcPr>
          <w:p w14:paraId="4AC5B784">
            <w:pPr>
              <w:pStyle w:val="6"/>
              <w:spacing w:before="244"/>
              <w:ind w:left="425"/>
            </w:pPr>
            <w:r>
              <w:rPr>
                <w:spacing w:val="-17"/>
              </w:rPr>
              <w:t>≥1</w:t>
            </w:r>
          </w:p>
        </w:tc>
      </w:tr>
    </w:tbl>
    <w:p w14:paraId="565D0E37">
      <w:pPr>
        <w:pStyle w:val="2"/>
        <w:spacing w:before="175" w:line="226" w:lineRule="auto"/>
        <w:ind w:left="634"/>
      </w:pPr>
      <w:r>
        <w:rPr>
          <w:b/>
          <w:bCs/>
          <w:spacing w:val="5"/>
        </w:rPr>
        <w:t>2.各组委会成员单位</w:t>
      </w:r>
    </w:p>
    <w:p w14:paraId="1DBF0F34">
      <w:pPr>
        <w:pStyle w:val="2"/>
        <w:spacing w:before="178" w:line="334" w:lineRule="auto"/>
        <w:ind w:left="2" w:right="143" w:firstLine="639"/>
      </w:pPr>
      <w:r>
        <w:rPr>
          <w:spacing w:val="9"/>
        </w:rPr>
        <w:t>各组委会成员单位推荐项目不少于5个，根据实际情</w:t>
      </w:r>
      <w:r>
        <w:rPr>
          <w:spacing w:val="8"/>
        </w:rPr>
        <w:t>况选择</w:t>
      </w:r>
      <w:r>
        <w:rPr>
          <w:spacing w:val="7"/>
        </w:rPr>
        <w:t>对应赛道推荐（其中主体赛道项目不少于3个）。</w:t>
      </w:r>
    </w:p>
    <w:p w14:paraId="78A5C7D2">
      <w:pPr>
        <w:pStyle w:val="2"/>
        <w:spacing w:before="1" w:line="227" w:lineRule="auto"/>
        <w:ind w:left="637"/>
        <w:outlineLvl w:val="0"/>
      </w:pPr>
      <w:r>
        <w:rPr>
          <w:b/>
          <w:bCs/>
          <w:spacing w:val="5"/>
        </w:rPr>
        <w:t>3.全市各创业孵化基地</w:t>
      </w:r>
    </w:p>
    <w:p w14:paraId="3E3125F9">
      <w:pPr>
        <w:pStyle w:val="2"/>
        <w:spacing w:before="175" w:line="334" w:lineRule="auto"/>
        <w:ind w:left="1" w:right="106" w:firstLine="640"/>
      </w:pPr>
      <w:r>
        <w:rPr>
          <w:spacing w:val="4"/>
        </w:rPr>
        <w:t>各基地推荐主体赛道参赛项目不少于2个（省级基地不少于4</w:t>
      </w:r>
      <w:r>
        <w:rPr>
          <w:spacing w:val="5"/>
        </w:rPr>
        <w:t>个</w:t>
      </w:r>
      <w:r>
        <w:rPr>
          <w:spacing w:val="-58"/>
        </w:rPr>
        <w:t>），</w:t>
      </w:r>
      <w:r>
        <w:rPr>
          <w:spacing w:val="5"/>
        </w:rPr>
        <w:t>专项赛道项目数量不限。</w:t>
      </w:r>
    </w:p>
    <w:p w14:paraId="027BCA19">
      <w:pPr>
        <w:pStyle w:val="2"/>
        <w:spacing w:before="2" w:line="224" w:lineRule="auto"/>
        <w:ind w:left="629"/>
      </w:pPr>
      <w:r>
        <w:rPr>
          <w:b/>
          <w:bCs/>
          <w:spacing w:val="6"/>
        </w:rPr>
        <w:t>4.在连各高等院校、技工学校、科研院所</w:t>
      </w:r>
    </w:p>
    <w:p w14:paraId="37A7D771">
      <w:pPr>
        <w:pStyle w:val="2"/>
        <w:spacing w:before="181" w:line="228" w:lineRule="auto"/>
        <w:ind w:left="643"/>
      </w:pPr>
      <w:r>
        <w:rPr>
          <w:spacing w:val="7"/>
        </w:rPr>
        <w:t>推荐参赛项目不限赛道，不限数量。</w:t>
      </w:r>
    </w:p>
    <w:p w14:paraId="04A9B327">
      <w:pPr>
        <w:spacing w:before="180" w:line="232" w:lineRule="auto"/>
        <w:ind w:left="657"/>
        <w:outlineLvl w:val="0"/>
        <w:rPr>
          <w:rFonts w:ascii="楷体" w:hAnsi="楷体" w:eastAsia="楷体" w:cs="楷体"/>
          <w:sz w:val="31"/>
          <w:szCs w:val="31"/>
        </w:rPr>
      </w:pPr>
      <w:r>
        <w:rPr>
          <w:rFonts w:ascii="楷体" w:hAnsi="楷体" w:eastAsia="楷体" w:cs="楷体"/>
          <w:spacing w:val="5"/>
          <w:sz w:val="31"/>
          <w:szCs w:val="31"/>
        </w:rPr>
        <w:t>（五）推荐宣传典型项目。</w:t>
      </w:r>
    </w:p>
    <w:p w14:paraId="1FDFA999">
      <w:pPr>
        <w:pStyle w:val="2"/>
        <w:spacing w:before="171" w:line="333" w:lineRule="auto"/>
        <w:ind w:right="163" w:firstLine="642"/>
        <w:jc w:val="both"/>
      </w:pPr>
      <w:r>
        <w:rPr>
          <w:spacing w:val="14"/>
        </w:rPr>
        <w:t>各地区人社部门、在连高校、技工学校和各有关单位推荐参赛项目的同时，需结合地区、行业优势领域，在推荐项目中</w:t>
      </w:r>
      <w:r>
        <w:rPr>
          <w:spacing w:val="8"/>
        </w:rPr>
        <w:t>精心挑选1—2个重点项目，作为宣传典型候选项目。</w:t>
      </w:r>
    </w:p>
    <w:p w14:paraId="52012887">
      <w:pPr>
        <w:spacing w:before="1" w:line="228" w:lineRule="auto"/>
        <w:ind w:left="623"/>
        <w:rPr>
          <w:rFonts w:ascii="楷体" w:hAnsi="楷体" w:eastAsia="楷体" w:cs="楷体"/>
          <w:sz w:val="31"/>
          <w:szCs w:val="31"/>
        </w:rPr>
      </w:pPr>
      <w:r>
        <w:rPr>
          <w:rFonts w:ascii="楷体" w:hAnsi="楷体" w:eastAsia="楷体" w:cs="楷体"/>
          <w:spacing w:val="8"/>
          <w:sz w:val="31"/>
          <w:szCs w:val="31"/>
        </w:rPr>
        <w:t>第三阶段：商业计划书初审、复赛和决赛</w:t>
      </w:r>
    </w:p>
    <w:p w14:paraId="4D7E9E03">
      <w:pPr>
        <w:pStyle w:val="2"/>
        <w:spacing w:before="172" w:line="334" w:lineRule="auto"/>
        <w:ind w:right="163" w:firstLine="621"/>
      </w:pPr>
      <w:r>
        <w:rPr>
          <w:spacing w:val="3"/>
        </w:rPr>
        <w:t>商业计划书初审、复赛、决赛由选拔赛组委会办公室统一组</w:t>
      </w:r>
      <w:r>
        <w:rPr>
          <w:spacing w:val="-9"/>
        </w:rPr>
        <w:t>织实施，评审委员会按照人力资源社会保障部《“创赢未来</w:t>
      </w:r>
      <w:r>
        <w:rPr>
          <w:spacing w:val="-111"/>
        </w:rPr>
        <w:t xml:space="preserve"> </w:t>
      </w:r>
      <w:r>
        <w:rPr>
          <w:spacing w:val="-9"/>
        </w:rPr>
        <w:t>”2026</w:t>
      </w:r>
      <w:r>
        <w:rPr>
          <w:spacing w:val="14"/>
        </w:rPr>
        <w:t>创业大赛组织实施细则》制定的统一赛事规则和评分标准开展评审工作，组委会将对入围选拔赛各赛道决赛的项目，择优推</w:t>
      </w:r>
      <w:r>
        <w:rPr>
          <w:spacing w:val="6"/>
        </w:rPr>
        <w:t>荐参加辽宁省选拔赛。</w:t>
      </w:r>
    </w:p>
    <w:p w14:paraId="3AA47DFC">
      <w:pPr>
        <w:pStyle w:val="2"/>
        <w:spacing w:before="1" w:line="225" w:lineRule="auto"/>
        <w:ind w:left="626"/>
        <w:rPr>
          <w:rFonts w:ascii="楷体" w:hAnsi="楷体" w:eastAsia="楷体" w:cs="楷体"/>
        </w:rPr>
      </w:pPr>
      <w:r>
        <w:rPr>
          <w:rFonts w:ascii="楷体" w:hAnsi="楷体" w:eastAsia="楷体" w:cs="楷体"/>
          <w:spacing w:val="6"/>
        </w:rPr>
        <w:t>（一）商业计划书初审，</w:t>
      </w:r>
      <w:r>
        <w:rPr>
          <w:spacing w:val="6"/>
        </w:rPr>
        <w:t>2026</w:t>
      </w:r>
      <w:r>
        <w:rPr>
          <w:rFonts w:ascii="楷体" w:hAnsi="楷体" w:eastAsia="楷体" w:cs="楷体"/>
          <w:spacing w:val="6"/>
        </w:rPr>
        <w:t>年</w:t>
      </w:r>
      <w:r>
        <w:rPr>
          <w:spacing w:val="6"/>
        </w:rPr>
        <w:t>5</w:t>
      </w:r>
      <w:r>
        <w:rPr>
          <w:rFonts w:ascii="楷体" w:hAnsi="楷体" w:eastAsia="楷体" w:cs="楷体"/>
          <w:spacing w:val="6"/>
        </w:rPr>
        <w:t>月</w:t>
      </w:r>
      <w:r>
        <w:rPr>
          <w:spacing w:val="6"/>
        </w:rPr>
        <w:t>9</w:t>
      </w:r>
      <w:r>
        <w:rPr>
          <w:rFonts w:ascii="楷体" w:hAnsi="楷体" w:eastAsia="楷体" w:cs="楷体"/>
          <w:spacing w:val="6"/>
        </w:rPr>
        <w:t>日前完成。</w:t>
      </w:r>
    </w:p>
    <w:p w14:paraId="02DF25A5">
      <w:pPr>
        <w:pStyle w:val="2"/>
        <w:spacing w:before="181" w:line="227" w:lineRule="auto"/>
        <w:ind w:left="610"/>
      </w:pPr>
      <w:r>
        <w:rPr>
          <w:spacing w:val="3"/>
        </w:rPr>
        <w:t>评审委员会采取集中评审的方式，对参赛项目提交的商业计</w:t>
      </w:r>
    </w:p>
    <w:p w14:paraId="28018166">
      <w:pPr>
        <w:spacing w:line="227" w:lineRule="auto"/>
        <w:sectPr>
          <w:footerReference r:id="rId12" w:type="default"/>
          <w:pgSz w:w="11900" w:h="16840"/>
          <w:pgMar w:top="1431" w:right="1369" w:bottom="1306" w:left="1607" w:header="0" w:footer="943" w:gutter="0"/>
          <w:cols w:space="720" w:num="1"/>
        </w:sectPr>
      </w:pPr>
    </w:p>
    <w:p w14:paraId="55A34C68">
      <w:pPr>
        <w:spacing w:line="246" w:lineRule="auto"/>
        <w:rPr>
          <w:rFonts w:ascii="Arial"/>
          <w:sz w:val="21"/>
        </w:rPr>
      </w:pPr>
    </w:p>
    <w:p w14:paraId="46E099C6">
      <w:pPr>
        <w:spacing w:line="246" w:lineRule="auto"/>
        <w:rPr>
          <w:rFonts w:ascii="Arial"/>
          <w:sz w:val="21"/>
        </w:rPr>
      </w:pPr>
    </w:p>
    <w:p w14:paraId="228ECA34">
      <w:pPr>
        <w:spacing w:line="246" w:lineRule="auto"/>
        <w:rPr>
          <w:rFonts w:ascii="Arial"/>
          <w:sz w:val="21"/>
        </w:rPr>
      </w:pPr>
    </w:p>
    <w:p w14:paraId="28E2C3B0">
      <w:pPr>
        <w:pStyle w:val="2"/>
        <w:spacing w:before="101" w:line="332" w:lineRule="auto"/>
        <w:ind w:left="4" w:right="62" w:firstLine="2"/>
      </w:pPr>
      <w:r>
        <w:rPr>
          <w:spacing w:val="14"/>
        </w:rPr>
        <w:t>划书进行评审打分，确定进入复赛的参赛项目。组委会办公室</w:t>
      </w:r>
      <w:r>
        <w:rPr>
          <w:spacing w:val="8"/>
        </w:rPr>
        <w:t>将邀请创业导师对入围复赛的项目组织集中培训。</w:t>
      </w:r>
    </w:p>
    <w:p w14:paraId="234B6D30">
      <w:pPr>
        <w:pStyle w:val="2"/>
        <w:spacing w:before="1" w:line="226" w:lineRule="auto"/>
        <w:ind w:left="630"/>
        <w:rPr>
          <w:rFonts w:ascii="楷体" w:hAnsi="楷体" w:eastAsia="楷体" w:cs="楷体"/>
        </w:rPr>
      </w:pPr>
      <w:r>
        <w:rPr>
          <w:rFonts w:ascii="楷体" w:hAnsi="楷体" w:eastAsia="楷体" w:cs="楷体"/>
          <w:spacing w:val="5"/>
        </w:rPr>
        <w:t>（二）复赛，</w:t>
      </w:r>
      <w:r>
        <w:rPr>
          <w:spacing w:val="5"/>
        </w:rPr>
        <w:t>2026</w:t>
      </w:r>
      <w:r>
        <w:rPr>
          <w:rFonts w:ascii="楷体" w:hAnsi="楷体" w:eastAsia="楷体" w:cs="楷体"/>
          <w:spacing w:val="5"/>
        </w:rPr>
        <w:t>年</w:t>
      </w:r>
      <w:r>
        <w:rPr>
          <w:spacing w:val="5"/>
        </w:rPr>
        <w:t>5</w:t>
      </w:r>
      <w:r>
        <w:rPr>
          <w:rFonts w:ascii="楷体" w:hAnsi="楷体" w:eastAsia="楷体" w:cs="楷体"/>
          <w:spacing w:val="5"/>
        </w:rPr>
        <w:t>月</w:t>
      </w:r>
      <w:r>
        <w:rPr>
          <w:spacing w:val="5"/>
        </w:rPr>
        <w:t>20</w:t>
      </w:r>
      <w:r>
        <w:rPr>
          <w:rFonts w:ascii="楷体" w:hAnsi="楷体" w:eastAsia="楷体" w:cs="楷体"/>
          <w:spacing w:val="5"/>
        </w:rPr>
        <w:t>日前完成。</w:t>
      </w:r>
    </w:p>
    <w:p w14:paraId="6DFC35C1">
      <w:pPr>
        <w:pStyle w:val="2"/>
        <w:spacing w:before="185" w:line="333" w:lineRule="auto"/>
        <w:ind w:left="4" w:right="61" w:firstLine="623"/>
        <w:jc w:val="both"/>
      </w:pPr>
      <w:r>
        <w:rPr>
          <w:spacing w:val="15"/>
        </w:rPr>
        <w:t>复赛通过现场项目路演形式进行。主体赛各</w:t>
      </w:r>
      <w:r>
        <w:rPr>
          <w:spacing w:val="14"/>
        </w:rPr>
        <w:t>赛道均取前10名、青年创新专项赛取前15名的项目进入决赛</w:t>
      </w:r>
      <w:r>
        <w:rPr>
          <w:spacing w:val="13"/>
        </w:rPr>
        <w:t>。选拔赛组委会</w:t>
      </w:r>
      <w:r>
        <w:rPr>
          <w:spacing w:val="27"/>
        </w:rPr>
        <w:t>办公室将邀请创业导师对入围决赛的项目组</w:t>
      </w:r>
      <w:r>
        <w:rPr>
          <w:spacing w:val="26"/>
        </w:rPr>
        <w:t>织赛前指导和培</w:t>
      </w:r>
      <w:r>
        <w:rPr>
          <w:spacing w:val="-7"/>
        </w:rPr>
        <w:t>训。</w:t>
      </w:r>
    </w:p>
    <w:p w14:paraId="5B201FF5">
      <w:pPr>
        <w:pStyle w:val="2"/>
        <w:spacing w:before="1" w:line="225" w:lineRule="auto"/>
        <w:ind w:left="630"/>
        <w:rPr>
          <w:rFonts w:ascii="楷体" w:hAnsi="楷体" w:eastAsia="楷体" w:cs="楷体"/>
        </w:rPr>
      </w:pPr>
      <w:r>
        <w:rPr>
          <w:rFonts w:ascii="楷体" w:hAnsi="楷体" w:eastAsia="楷体" w:cs="楷体"/>
          <w:spacing w:val="5"/>
        </w:rPr>
        <w:t>（三）决赛，</w:t>
      </w:r>
      <w:r>
        <w:rPr>
          <w:spacing w:val="5"/>
        </w:rPr>
        <w:t>2026</w:t>
      </w:r>
      <w:r>
        <w:rPr>
          <w:rFonts w:ascii="楷体" w:hAnsi="楷体" w:eastAsia="楷体" w:cs="楷体"/>
          <w:spacing w:val="5"/>
        </w:rPr>
        <w:t>年</w:t>
      </w:r>
      <w:r>
        <w:rPr>
          <w:spacing w:val="5"/>
        </w:rPr>
        <w:t>5</w:t>
      </w:r>
      <w:r>
        <w:rPr>
          <w:rFonts w:ascii="楷体" w:hAnsi="楷体" w:eastAsia="楷体" w:cs="楷体"/>
          <w:spacing w:val="5"/>
        </w:rPr>
        <w:t>月</w:t>
      </w:r>
      <w:r>
        <w:rPr>
          <w:spacing w:val="5"/>
        </w:rPr>
        <w:t>31</w:t>
      </w:r>
      <w:r>
        <w:rPr>
          <w:rFonts w:ascii="楷体" w:hAnsi="楷体" w:eastAsia="楷体" w:cs="楷体"/>
          <w:spacing w:val="5"/>
        </w:rPr>
        <w:t>日前完成。</w:t>
      </w:r>
    </w:p>
    <w:p w14:paraId="599B9564">
      <w:pPr>
        <w:pStyle w:val="2"/>
        <w:spacing w:before="180" w:line="334" w:lineRule="auto"/>
        <w:ind w:left="4" w:right="60" w:firstLine="609"/>
        <w:jc w:val="both"/>
      </w:pPr>
      <w:r>
        <w:rPr>
          <w:spacing w:val="9"/>
        </w:rPr>
        <w:t>决赛通过现场项目路演形式进行，各赛道分别评出一等奖1</w:t>
      </w:r>
      <w:r>
        <w:rPr>
          <w:spacing w:val="14"/>
        </w:rPr>
        <w:t>名、二等奖2名、三等奖3名，参加决赛各赛道的项</w:t>
      </w:r>
      <w:r>
        <w:rPr>
          <w:spacing w:val="13"/>
        </w:rPr>
        <w:t>目均获得市</w:t>
      </w:r>
      <w:r>
        <w:rPr>
          <w:spacing w:val="7"/>
        </w:rPr>
        <w:t>级选拔赛优秀参赛项目奖。</w:t>
      </w:r>
    </w:p>
    <w:p w14:paraId="1F7D579F">
      <w:pPr>
        <w:spacing w:before="4" w:line="228" w:lineRule="auto"/>
        <w:ind w:left="637"/>
        <w:outlineLvl w:val="0"/>
        <w:rPr>
          <w:rFonts w:ascii="黑体" w:hAnsi="黑体" w:eastAsia="黑体" w:cs="黑体"/>
          <w:sz w:val="30"/>
          <w:szCs w:val="30"/>
        </w:rPr>
      </w:pPr>
      <w:r>
        <w:rPr>
          <w:rFonts w:ascii="黑体" w:hAnsi="黑体" w:eastAsia="黑体" w:cs="黑体"/>
          <w:spacing w:val="7"/>
          <w:sz w:val="30"/>
          <w:szCs w:val="30"/>
        </w:rPr>
        <w:t>六、评审标准及规则</w:t>
      </w:r>
    </w:p>
    <w:p w14:paraId="4BF001A2">
      <w:pPr>
        <w:pStyle w:val="2"/>
        <w:spacing w:before="182" w:line="229" w:lineRule="auto"/>
        <w:jc w:val="right"/>
        <w:outlineLvl w:val="0"/>
      </w:pPr>
      <w:r>
        <w:rPr>
          <w:rFonts w:ascii="楷体" w:hAnsi="楷体" w:eastAsia="楷体" w:cs="楷体"/>
          <w:spacing w:val="4"/>
        </w:rPr>
        <w:t>（一）评审标准要点。</w:t>
      </w:r>
      <w:r>
        <w:rPr>
          <w:spacing w:val="4"/>
        </w:rPr>
        <w:t>以“培育新质生产力、拓宽就业新空</w:t>
      </w:r>
    </w:p>
    <w:p w14:paraId="60F54B76">
      <w:pPr>
        <w:pStyle w:val="2"/>
        <w:spacing w:before="181" w:line="333" w:lineRule="auto"/>
        <w:ind w:left="2" w:firstLine="30"/>
        <w:jc w:val="both"/>
      </w:pPr>
      <w:r>
        <w:rPr>
          <w:spacing w:val="2"/>
        </w:rPr>
        <w:t>间、促进高质量充分就业</w:t>
      </w:r>
      <w:r>
        <w:rPr>
          <w:spacing w:val="-102"/>
        </w:rPr>
        <w:t xml:space="preserve"> </w:t>
      </w:r>
      <w:r>
        <w:rPr>
          <w:spacing w:val="2"/>
        </w:rPr>
        <w:t>”为导向，重点考察企业带动就业的能</w:t>
      </w:r>
      <w:r>
        <w:rPr>
          <w:spacing w:val="5"/>
        </w:rPr>
        <w:t>力，关注项目直接和间接带动就业的规模、质量，吸纳就业的重点群体，企业劳动环境与劳动关系，为劳动者提供的发展</w:t>
      </w:r>
      <w:r>
        <w:rPr>
          <w:spacing w:val="4"/>
        </w:rPr>
        <w:t>空间等</w:t>
      </w:r>
      <w:r>
        <w:rPr>
          <w:spacing w:val="5"/>
        </w:rPr>
        <w:t>要素。同时，考察项目的创新引领性、创业团队综合能力</w:t>
      </w:r>
      <w:r>
        <w:rPr>
          <w:spacing w:val="4"/>
        </w:rPr>
        <w:t>、发展</w:t>
      </w:r>
      <w:r>
        <w:rPr>
          <w:spacing w:val="5"/>
        </w:rPr>
        <w:t>现状与未来前景。针对主体赛各赛道的核心定位，差异化</w:t>
      </w:r>
      <w:r>
        <w:rPr>
          <w:spacing w:val="4"/>
        </w:rPr>
        <w:t>考察项</w:t>
      </w:r>
      <w:r>
        <w:rPr>
          <w:spacing w:val="5"/>
        </w:rPr>
        <w:t>目在科技成果转化、产业融合发展、职业技能赋能、满足</w:t>
      </w:r>
      <w:r>
        <w:rPr>
          <w:spacing w:val="4"/>
        </w:rPr>
        <w:t>民生需</w:t>
      </w:r>
      <w:r>
        <w:rPr>
          <w:spacing w:val="5"/>
        </w:rPr>
        <w:t>求等方面效果。</w:t>
      </w:r>
    </w:p>
    <w:p w14:paraId="1B1D0C7A">
      <w:pPr>
        <w:pStyle w:val="2"/>
        <w:spacing w:before="1" w:line="228" w:lineRule="auto"/>
        <w:ind w:right="2"/>
        <w:jc w:val="right"/>
        <w:outlineLvl w:val="0"/>
      </w:pPr>
      <w:r>
        <w:rPr>
          <w:rFonts w:ascii="楷体" w:hAnsi="楷体" w:eastAsia="楷体" w:cs="楷体"/>
          <w:spacing w:val="4"/>
        </w:rPr>
        <w:t>（二）评审规则要点。</w:t>
      </w:r>
      <w:r>
        <w:rPr>
          <w:spacing w:val="4"/>
        </w:rPr>
        <w:t>选拔赛复赛和决赛项目评</w:t>
      </w:r>
      <w:r>
        <w:rPr>
          <w:spacing w:val="3"/>
        </w:rPr>
        <w:t>审采用抽签</w:t>
      </w:r>
    </w:p>
    <w:p w14:paraId="137E5E8B">
      <w:pPr>
        <w:pStyle w:val="2"/>
        <w:spacing w:before="178" w:line="226" w:lineRule="auto"/>
      </w:pPr>
      <w:r>
        <w:rPr>
          <w:spacing w:val="5"/>
        </w:rPr>
        <w:t>排序、现场路演、现场评分的方式进行。具体评审标准及规则将</w:t>
      </w:r>
    </w:p>
    <w:p w14:paraId="7B879C60">
      <w:pPr>
        <w:spacing w:line="226" w:lineRule="auto"/>
        <w:sectPr>
          <w:footerReference r:id="rId13" w:type="default"/>
          <w:pgSz w:w="11900" w:h="16840"/>
          <w:pgMar w:top="1431" w:right="1472" w:bottom="1306" w:left="1603" w:header="0" w:footer="941" w:gutter="0"/>
          <w:cols w:space="720" w:num="1"/>
        </w:sectPr>
      </w:pPr>
    </w:p>
    <w:p w14:paraId="3211CC5B">
      <w:pPr>
        <w:spacing w:line="245" w:lineRule="auto"/>
        <w:rPr>
          <w:rFonts w:ascii="Arial"/>
          <w:sz w:val="21"/>
        </w:rPr>
      </w:pPr>
    </w:p>
    <w:p w14:paraId="0427E7AB">
      <w:pPr>
        <w:spacing w:line="245" w:lineRule="auto"/>
        <w:rPr>
          <w:rFonts w:ascii="Arial"/>
          <w:sz w:val="21"/>
        </w:rPr>
      </w:pPr>
    </w:p>
    <w:p w14:paraId="74546094">
      <w:pPr>
        <w:spacing w:line="246" w:lineRule="auto"/>
        <w:rPr>
          <w:rFonts w:ascii="Arial"/>
          <w:sz w:val="21"/>
        </w:rPr>
      </w:pPr>
    </w:p>
    <w:p w14:paraId="3408324E">
      <w:pPr>
        <w:pStyle w:val="2"/>
        <w:spacing w:before="101" w:line="225" w:lineRule="auto"/>
        <w:ind w:left="2"/>
      </w:pPr>
      <w:r>
        <w:rPr>
          <w:spacing w:val="7"/>
        </w:rPr>
        <w:t>在大赛组织实施细则中明确。</w:t>
      </w:r>
    </w:p>
    <w:p w14:paraId="589647A2">
      <w:pPr>
        <w:spacing w:before="188" w:line="229" w:lineRule="auto"/>
        <w:ind w:left="611"/>
        <w:outlineLvl w:val="0"/>
        <w:rPr>
          <w:rFonts w:ascii="黑体" w:hAnsi="黑体" w:eastAsia="黑体" w:cs="黑体"/>
          <w:sz w:val="30"/>
          <w:szCs w:val="30"/>
        </w:rPr>
      </w:pPr>
      <w:r>
        <w:rPr>
          <w:rFonts w:ascii="黑体" w:hAnsi="黑体" w:eastAsia="黑体" w:cs="黑体"/>
          <w:spacing w:val="8"/>
          <w:sz w:val="30"/>
          <w:szCs w:val="30"/>
        </w:rPr>
        <w:t>七、推荐与扶持</w:t>
      </w:r>
    </w:p>
    <w:p w14:paraId="0180DB86">
      <w:pPr>
        <w:spacing w:before="180" w:line="232" w:lineRule="auto"/>
        <w:ind w:left="657"/>
        <w:outlineLvl w:val="0"/>
        <w:rPr>
          <w:rFonts w:ascii="楷体" w:hAnsi="楷体" w:eastAsia="楷体" w:cs="楷体"/>
          <w:sz w:val="31"/>
          <w:szCs w:val="31"/>
        </w:rPr>
      </w:pPr>
      <w:r>
        <w:rPr>
          <w:rFonts w:ascii="楷体" w:hAnsi="楷体" w:eastAsia="楷体" w:cs="楷体"/>
          <w:spacing w:val="5"/>
          <w:sz w:val="31"/>
          <w:szCs w:val="31"/>
        </w:rPr>
        <w:t>（一）推荐与奖励</w:t>
      </w:r>
    </w:p>
    <w:p w14:paraId="69591EC6">
      <w:pPr>
        <w:pStyle w:val="2"/>
        <w:spacing w:before="173" w:line="332" w:lineRule="auto"/>
        <w:ind w:left="1" w:firstLine="648"/>
        <w:outlineLvl w:val="0"/>
      </w:pPr>
      <w:r>
        <w:rPr>
          <w:spacing w:val="14"/>
        </w:rPr>
        <w:t>市选拔赛组委会将对一、二、三等奖和优秀奖等获奖项目</w:t>
      </w:r>
      <w:r>
        <w:rPr>
          <w:spacing w:val="8"/>
        </w:rPr>
        <w:t>颁发证书，并推荐其中优秀项目代表大连市参加省级选拔赛。</w:t>
      </w:r>
    </w:p>
    <w:p w14:paraId="13D9B5D4">
      <w:pPr>
        <w:pStyle w:val="2"/>
        <w:spacing w:before="4" w:line="333" w:lineRule="auto"/>
        <w:ind w:firstLine="643"/>
        <w:jc w:val="both"/>
      </w:pPr>
      <w:r>
        <w:rPr>
          <w:spacing w:val="8"/>
        </w:rPr>
        <w:t>省赛主体赛各赛道分配我市推荐名额各5个、专项赛赛道推荐名额10个，总计推荐名额30个。其中：主体赛参赛项目法定</w:t>
      </w:r>
      <w:r>
        <w:rPr>
          <w:spacing w:val="9"/>
        </w:rPr>
        <w:t>代表人、专项赛第一创始人为高层次人才（</w:t>
      </w:r>
      <w:r>
        <w:rPr>
          <w:spacing w:val="8"/>
        </w:rPr>
        <w:t>含留学归国人员）</w:t>
      </w:r>
    </w:p>
    <w:p w14:paraId="47FF854F">
      <w:pPr>
        <w:pStyle w:val="2"/>
        <w:spacing w:before="7" w:line="333" w:lineRule="auto"/>
        <w:ind w:left="1" w:firstLine="17"/>
        <w:jc w:val="both"/>
      </w:pPr>
      <w:r>
        <w:rPr>
          <w:spacing w:val="8"/>
        </w:rPr>
        <w:t>的，经组委会办公室资格审核和我市选拔赛组委会评定后可直接参加本次大赛省级选拔赛（不占我市推荐名额，可额外增加5</w:t>
      </w:r>
      <w:r>
        <w:rPr>
          <w:spacing w:val="3"/>
        </w:rPr>
        <w:t>个名额）。参加专项赛的创业项目，第一创始人为</w:t>
      </w:r>
      <w:r>
        <w:rPr>
          <w:spacing w:val="2"/>
        </w:rPr>
        <w:t>技工院校、技</w:t>
      </w:r>
      <w:r>
        <w:rPr>
          <w:spacing w:val="9"/>
        </w:rPr>
        <w:t>师学院高级工班的在校生、毕业生，经我市推荐后，报省组委</w:t>
      </w:r>
      <w:r>
        <w:rPr>
          <w:spacing w:val="2"/>
        </w:rPr>
        <w:t>会进行专家遴选（不占我市推荐名额）。报名者是2025年至今在</w:t>
      </w:r>
      <w:r>
        <w:rPr>
          <w:spacing w:val="7"/>
        </w:rPr>
        <w:t>政府部门组织的创业创新大赛中获得省级大赛</w:t>
      </w:r>
      <w:r>
        <w:rPr>
          <w:spacing w:val="6"/>
        </w:rPr>
        <w:t>一等奖、</w:t>
      </w:r>
      <w:r>
        <w:rPr>
          <w:spacing w:val="-91"/>
        </w:rPr>
        <w:t xml:space="preserve"> </w:t>
      </w:r>
      <w:r>
        <w:rPr>
          <w:spacing w:val="6"/>
        </w:rPr>
        <w:t>国家三</w:t>
      </w:r>
      <w:r>
        <w:rPr>
          <w:spacing w:val="9"/>
        </w:rPr>
        <w:t>等奖及以上的创业项目，符合本次大赛各赛道报名条件的，经</w:t>
      </w:r>
      <w:r>
        <w:rPr>
          <w:spacing w:val="4"/>
        </w:rPr>
        <w:t>我市推荐后可直接参加大赛省级决赛（不占我市名额）。</w:t>
      </w:r>
    </w:p>
    <w:p w14:paraId="5DDD2D99">
      <w:pPr>
        <w:pStyle w:val="2"/>
        <w:spacing w:before="1" w:line="333" w:lineRule="auto"/>
        <w:ind w:left="11" w:firstLine="600"/>
      </w:pPr>
      <w:r>
        <w:rPr>
          <w:spacing w:val="3"/>
        </w:rPr>
        <w:t>对获得省级决赛一、二、三等奖的项目由省赛组委会分别给</w:t>
      </w:r>
      <w:r>
        <w:rPr>
          <w:spacing w:val="2"/>
        </w:rPr>
        <w:t>予相应奖金。</w:t>
      </w:r>
    </w:p>
    <w:p w14:paraId="57902285">
      <w:pPr>
        <w:spacing w:before="1" w:line="231" w:lineRule="auto"/>
        <w:ind w:left="626"/>
        <w:rPr>
          <w:rFonts w:ascii="楷体" w:hAnsi="楷体" w:eastAsia="楷体" w:cs="楷体"/>
          <w:sz w:val="31"/>
          <w:szCs w:val="31"/>
        </w:rPr>
      </w:pPr>
      <w:r>
        <w:rPr>
          <w:rFonts w:ascii="楷体" w:hAnsi="楷体" w:eastAsia="楷体" w:cs="楷体"/>
          <w:spacing w:val="4"/>
          <w:sz w:val="31"/>
          <w:szCs w:val="31"/>
        </w:rPr>
        <w:t>（二）扶持服务</w:t>
      </w:r>
    </w:p>
    <w:p w14:paraId="611C9700">
      <w:pPr>
        <w:pStyle w:val="2"/>
        <w:spacing w:before="171" w:line="334" w:lineRule="auto"/>
        <w:ind w:left="1" w:right="2" w:firstLine="622"/>
        <w:jc w:val="both"/>
      </w:pPr>
      <w:r>
        <w:rPr>
          <w:spacing w:val="3"/>
        </w:rPr>
        <w:t>1.所有参加市级选拔赛的项目均纳入市级</w:t>
      </w:r>
      <w:r>
        <w:rPr>
          <w:spacing w:val="2"/>
        </w:rPr>
        <w:t>创业项目库。入围</w:t>
      </w:r>
      <w:r>
        <w:rPr>
          <w:spacing w:val="14"/>
        </w:rPr>
        <w:t>市级选拔赛决赛的，优先宣传推广，提升创业项目和创业者知名度，优先免费入驻我市公办孵化基地，帮助其对接资金和市</w:t>
      </w:r>
    </w:p>
    <w:p w14:paraId="46872440">
      <w:pPr>
        <w:spacing w:line="334" w:lineRule="auto"/>
        <w:sectPr>
          <w:footerReference r:id="rId14" w:type="default"/>
          <w:pgSz w:w="11900" w:h="16840"/>
          <w:pgMar w:top="1431" w:right="1532" w:bottom="1306" w:left="1607" w:header="0" w:footer="941" w:gutter="0"/>
          <w:cols w:space="720" w:num="1"/>
        </w:sectPr>
      </w:pPr>
    </w:p>
    <w:p w14:paraId="7D837339">
      <w:pPr>
        <w:spacing w:line="245" w:lineRule="auto"/>
        <w:rPr>
          <w:rFonts w:ascii="Arial"/>
          <w:sz w:val="21"/>
        </w:rPr>
      </w:pPr>
    </w:p>
    <w:p w14:paraId="1EEB2C7B">
      <w:pPr>
        <w:spacing w:line="245" w:lineRule="auto"/>
        <w:rPr>
          <w:rFonts w:ascii="Arial"/>
          <w:sz w:val="21"/>
        </w:rPr>
      </w:pPr>
    </w:p>
    <w:p w14:paraId="26D86034">
      <w:pPr>
        <w:spacing w:line="246" w:lineRule="auto"/>
        <w:rPr>
          <w:rFonts w:ascii="Arial"/>
          <w:sz w:val="21"/>
        </w:rPr>
      </w:pPr>
    </w:p>
    <w:p w14:paraId="4F9F9BB5">
      <w:pPr>
        <w:pStyle w:val="2"/>
        <w:spacing w:before="4" w:line="333" w:lineRule="auto"/>
        <w:jc w:val="both"/>
        <w:rPr>
          <w:spacing w:val="8"/>
        </w:rPr>
      </w:pPr>
      <w:r>
        <w:rPr>
          <w:spacing w:val="8"/>
        </w:rPr>
        <w:t>场，拓宽发展渠道。符合条件的可申请创业担保贷款、创业场租补贴等创业支持政策。</w:t>
      </w:r>
    </w:p>
    <w:p w14:paraId="615F6E0D">
      <w:pPr>
        <w:pStyle w:val="2"/>
        <w:spacing w:before="4" w:line="333" w:lineRule="auto"/>
        <w:ind w:firstLine="643"/>
        <w:jc w:val="both"/>
        <w:rPr>
          <w:spacing w:val="8"/>
        </w:rPr>
      </w:pPr>
      <w:r>
        <w:rPr>
          <w:spacing w:val="8"/>
        </w:rPr>
        <w:t>2.参赛和获奖情况可作为职称评审、职务晋升、评优、保研等方面的重要依据。</w:t>
      </w:r>
    </w:p>
    <w:p w14:paraId="3989FE0D">
      <w:pPr>
        <w:pStyle w:val="2"/>
        <w:spacing w:before="4" w:line="333" w:lineRule="auto"/>
        <w:ind w:firstLine="643"/>
        <w:jc w:val="both"/>
        <w:rPr>
          <w:spacing w:val="8"/>
        </w:rPr>
      </w:pPr>
      <w:r>
        <w:rPr>
          <w:spacing w:val="8"/>
        </w:rPr>
        <w:t>3.鼓励各高校校友会组织高校毕业生，欧美同学会组织留学生和归国留学人员报名参赛。对于参加本届大赛省级选拔赛的留学回辽人员和留创企业，按照相关政策规定纳入留学人才联络站服务范围。在非教育系统公派留学、“最具成长潜力的留学人员创业企业 ”等部级支持项目申报中提供全程服务；推荐留创企业参加人力资源社会保障部组织的留学人员回国创业高级研修班</w:t>
      </w:r>
      <w:r>
        <w:rPr>
          <w:spacing w:val="8"/>
        </w:rPr>
        <w:t>（训练营）；</w:t>
      </w:r>
      <w:r>
        <w:rPr>
          <w:spacing w:val="8"/>
        </w:rPr>
        <w:t>全省高层次技术人才进企业进园区活动将对留创企业在科研攻关、技术指导、生产经营等方面的需求予以关注；将相关留创企业人才需求纳入全省重点产业调查范围，帮助企业招引人才。</w:t>
      </w:r>
    </w:p>
    <w:sectPr>
      <w:headerReference r:id="rId15" w:type="default"/>
      <w:footerReference r:id="rId16" w:type="default"/>
      <w:pgSz w:w="11906" w:h="16839"/>
      <w:pgMar w:top="1429" w:right="1531" w:bottom="1304" w:left="1604" w:header="0" w:footer="108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17FEF">
    <w:pPr>
      <w:spacing w:before="1" w:line="232" w:lineRule="auto"/>
      <w:ind w:left="3907"/>
      <w:rPr>
        <w:rFonts w:ascii="宋体" w:hAnsi="宋体" w:eastAsia="宋体" w:cs="宋体"/>
        <w:sz w:val="28"/>
        <w:szCs w:val="28"/>
      </w:rPr>
    </w:pPr>
    <w:r>
      <w:rPr>
        <w:rFonts w:ascii="宋体" w:hAnsi="宋体" w:eastAsia="宋体" w:cs="宋体"/>
        <w:spacing w:val="-4"/>
        <w:sz w:val="28"/>
        <w:szCs w:val="28"/>
      </w:rPr>
      <w:t>—</w:t>
    </w:r>
    <w:r>
      <w:rPr>
        <w:rFonts w:ascii="宋体" w:hAnsi="宋体" w:eastAsia="宋体" w:cs="宋体"/>
        <w:spacing w:val="16"/>
        <w:sz w:val="28"/>
        <w:szCs w:val="28"/>
      </w:rPr>
      <w:t xml:space="preserve"> </w:t>
    </w:r>
    <w:r>
      <w:rPr>
        <w:rFonts w:ascii="宋体" w:hAnsi="宋体" w:eastAsia="宋体" w:cs="宋体"/>
        <w:spacing w:val="-4"/>
        <w:sz w:val="28"/>
        <w:szCs w:val="28"/>
      </w:rPr>
      <w:t>3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449D4">
    <w:pPr>
      <w:spacing w:line="234" w:lineRule="auto"/>
      <w:ind w:left="3838"/>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30"/>
        <w:sz w:val="28"/>
        <w:szCs w:val="28"/>
      </w:rPr>
      <w:t xml:space="preserve"> </w:t>
    </w:r>
    <w:r>
      <w:rPr>
        <w:rFonts w:ascii="宋体" w:hAnsi="宋体" w:eastAsia="宋体" w:cs="宋体"/>
        <w:spacing w:val="-6"/>
        <w:sz w:val="28"/>
        <w:szCs w:val="28"/>
      </w:rPr>
      <w:t>12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2E8A4">
    <w:pPr>
      <w:spacing w:line="234" w:lineRule="auto"/>
      <w:ind w:left="6726"/>
      <w:rPr>
        <w:rFonts w:ascii="宋体" w:hAnsi="宋体" w:eastAsia="宋体" w:cs="宋体"/>
        <w:sz w:val="28"/>
        <w:szCs w:val="28"/>
      </w:rPr>
    </w:pPr>
    <w:r>
      <w:rPr>
        <w:rFonts w:ascii="宋体" w:hAnsi="宋体" w:eastAsia="宋体" w:cs="宋体"/>
        <w:spacing w:val="-3"/>
        <w:sz w:val="28"/>
        <w:szCs w:val="28"/>
      </w:rPr>
      <w:t>—</w:t>
    </w:r>
    <w:r>
      <w:rPr>
        <w:rFonts w:ascii="宋体" w:hAnsi="宋体" w:eastAsia="宋体" w:cs="宋体"/>
        <w:spacing w:val="14"/>
        <w:sz w:val="28"/>
        <w:szCs w:val="28"/>
      </w:rPr>
      <w:t xml:space="preserve"> </w:t>
    </w:r>
    <w:r>
      <w:rPr>
        <w:rFonts w:ascii="宋体" w:hAnsi="宋体" w:eastAsia="宋体" w:cs="宋体"/>
        <w:spacing w:val="-3"/>
        <w:sz w:val="28"/>
        <w:szCs w:val="28"/>
      </w:rPr>
      <w:t>21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6EE83">
    <w:pPr>
      <w:spacing w:line="234" w:lineRule="auto"/>
      <w:ind w:left="3908"/>
      <w:rPr>
        <w:rFonts w:ascii="宋体" w:hAnsi="宋体" w:eastAsia="宋体" w:cs="宋体"/>
        <w:sz w:val="28"/>
        <w:szCs w:val="28"/>
      </w:rPr>
    </w:pPr>
    <w:r>
      <w:rPr>
        <w:rFonts w:ascii="宋体" w:hAnsi="宋体" w:eastAsia="宋体" w:cs="宋体"/>
        <w:spacing w:val="-2"/>
        <w:sz w:val="28"/>
        <w:szCs w:val="28"/>
      </w:rPr>
      <w:t>—</w:t>
    </w:r>
    <w:r>
      <w:rPr>
        <w:rFonts w:ascii="宋体" w:hAnsi="宋体" w:eastAsia="宋体" w:cs="宋体"/>
        <w:spacing w:val="8"/>
        <w:sz w:val="28"/>
        <w:szCs w:val="28"/>
      </w:rPr>
      <w:t xml:space="preserve"> </w:t>
    </w:r>
    <w:r>
      <w:rPr>
        <w:rFonts w:ascii="宋体" w:hAnsi="宋体" w:eastAsia="宋体" w:cs="宋体"/>
        <w:spacing w:val="-2"/>
        <w:sz w:val="28"/>
        <w:szCs w:val="28"/>
      </w:rPr>
      <w:t>4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CB8AF">
    <w:pPr>
      <w:spacing w:before="1" w:line="232" w:lineRule="auto"/>
      <w:ind w:left="3908"/>
      <w:rPr>
        <w:rFonts w:ascii="宋体" w:hAnsi="宋体" w:eastAsia="宋体" w:cs="宋体"/>
        <w:sz w:val="28"/>
        <w:szCs w:val="28"/>
      </w:rPr>
    </w:pPr>
    <w:r>
      <w:rPr>
        <w:rFonts w:ascii="宋体" w:hAnsi="宋体" w:eastAsia="宋体" w:cs="宋体"/>
        <w:spacing w:val="-4"/>
        <w:sz w:val="28"/>
        <w:szCs w:val="28"/>
      </w:rPr>
      <w:t>—</w:t>
    </w:r>
    <w:r>
      <w:rPr>
        <w:rFonts w:ascii="宋体" w:hAnsi="宋体" w:eastAsia="宋体" w:cs="宋体"/>
        <w:spacing w:val="16"/>
        <w:sz w:val="28"/>
        <w:szCs w:val="28"/>
      </w:rPr>
      <w:t xml:space="preserve"> </w:t>
    </w:r>
    <w:r>
      <w:rPr>
        <w:rFonts w:ascii="宋体" w:hAnsi="宋体" w:eastAsia="宋体" w:cs="宋体"/>
        <w:spacing w:val="-4"/>
        <w:sz w:val="28"/>
        <w:szCs w:val="28"/>
      </w:rPr>
      <w:t>5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3D93E">
    <w:pPr>
      <w:spacing w:before="1" w:line="232" w:lineRule="auto"/>
      <w:ind w:left="3911"/>
      <w:rPr>
        <w:rFonts w:ascii="宋体" w:hAnsi="宋体" w:eastAsia="宋体" w:cs="宋体"/>
        <w:sz w:val="28"/>
        <w:szCs w:val="28"/>
      </w:rPr>
    </w:pPr>
    <w:r>
      <w:rPr>
        <w:rFonts w:ascii="宋体" w:hAnsi="宋体" w:eastAsia="宋体" w:cs="宋体"/>
        <w:spacing w:val="-3"/>
        <w:sz w:val="28"/>
        <w:szCs w:val="28"/>
      </w:rPr>
      <w:t>—</w:t>
    </w:r>
    <w:r>
      <w:rPr>
        <w:rFonts w:ascii="宋体" w:hAnsi="宋体" w:eastAsia="宋体" w:cs="宋体"/>
        <w:spacing w:val="12"/>
        <w:sz w:val="28"/>
        <w:szCs w:val="28"/>
      </w:rPr>
      <w:t xml:space="preserve"> </w:t>
    </w:r>
    <w:r>
      <w:rPr>
        <w:rFonts w:ascii="宋体" w:hAnsi="宋体" w:eastAsia="宋体" w:cs="宋体"/>
        <w:spacing w:val="-3"/>
        <w:sz w:val="28"/>
        <w:szCs w:val="28"/>
      </w:rPr>
      <w:t>6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E6350">
    <w:pPr>
      <w:spacing w:before="1" w:line="232" w:lineRule="auto"/>
      <w:ind w:left="3918"/>
      <w:rPr>
        <w:rFonts w:ascii="宋体" w:hAnsi="宋体" w:eastAsia="宋体" w:cs="宋体"/>
        <w:sz w:val="28"/>
        <w:szCs w:val="28"/>
      </w:rPr>
    </w:pPr>
    <w:r>
      <w:rPr>
        <w:rFonts w:ascii="宋体" w:hAnsi="宋体" w:eastAsia="宋体" w:cs="宋体"/>
        <w:spacing w:val="-4"/>
        <w:sz w:val="28"/>
        <w:szCs w:val="28"/>
      </w:rPr>
      <w:t>—</w:t>
    </w:r>
    <w:r>
      <w:rPr>
        <w:rFonts w:ascii="宋体" w:hAnsi="宋体" w:eastAsia="宋体" w:cs="宋体"/>
        <w:spacing w:val="16"/>
        <w:sz w:val="28"/>
        <w:szCs w:val="28"/>
      </w:rPr>
      <w:t xml:space="preserve"> </w:t>
    </w:r>
    <w:r>
      <w:rPr>
        <w:rFonts w:ascii="宋体" w:hAnsi="宋体" w:eastAsia="宋体" w:cs="宋体"/>
        <w:spacing w:val="-4"/>
        <w:sz w:val="28"/>
        <w:szCs w:val="28"/>
      </w:rPr>
      <w:t>7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1BBCE">
    <w:pPr>
      <w:spacing w:before="1" w:line="232" w:lineRule="auto"/>
      <w:ind w:left="3908"/>
      <w:rPr>
        <w:rFonts w:ascii="宋体" w:hAnsi="宋体" w:eastAsia="宋体" w:cs="宋体"/>
        <w:sz w:val="28"/>
        <w:szCs w:val="28"/>
      </w:rPr>
    </w:pPr>
    <w:r>
      <w:rPr>
        <w:rFonts w:ascii="宋体" w:hAnsi="宋体" w:eastAsia="宋体" w:cs="宋体"/>
        <w:spacing w:val="-3"/>
        <w:sz w:val="28"/>
        <w:szCs w:val="28"/>
      </w:rPr>
      <w:t>—</w:t>
    </w:r>
    <w:r>
      <w:rPr>
        <w:rFonts w:ascii="宋体" w:hAnsi="宋体" w:eastAsia="宋体" w:cs="宋体"/>
        <w:spacing w:val="12"/>
        <w:sz w:val="28"/>
        <w:szCs w:val="28"/>
      </w:rPr>
      <w:t xml:space="preserve"> </w:t>
    </w:r>
    <w:r>
      <w:rPr>
        <w:rFonts w:ascii="宋体" w:hAnsi="宋体" w:eastAsia="宋体" w:cs="宋体"/>
        <w:spacing w:val="-3"/>
        <w:sz w:val="28"/>
        <w:szCs w:val="28"/>
      </w:rPr>
      <w:t>8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939B2">
    <w:pPr>
      <w:spacing w:before="1" w:line="232" w:lineRule="auto"/>
      <w:ind w:left="3936"/>
      <w:rPr>
        <w:rFonts w:ascii="宋体" w:hAnsi="宋体" w:eastAsia="宋体" w:cs="宋体"/>
        <w:sz w:val="28"/>
        <w:szCs w:val="28"/>
      </w:rPr>
    </w:pPr>
    <w:r>
      <w:rPr>
        <w:rFonts w:ascii="宋体" w:hAnsi="宋体" w:eastAsia="宋体" w:cs="宋体"/>
        <w:spacing w:val="-3"/>
        <w:sz w:val="28"/>
        <w:szCs w:val="28"/>
      </w:rPr>
      <w:t>—</w:t>
    </w:r>
    <w:r>
      <w:rPr>
        <w:rFonts w:ascii="宋体" w:hAnsi="宋体" w:eastAsia="宋体" w:cs="宋体"/>
        <w:spacing w:val="12"/>
        <w:sz w:val="28"/>
        <w:szCs w:val="28"/>
      </w:rPr>
      <w:t xml:space="preserve"> </w:t>
    </w:r>
    <w:r>
      <w:rPr>
        <w:rFonts w:ascii="宋体" w:hAnsi="宋体" w:eastAsia="宋体" w:cs="宋体"/>
        <w:spacing w:val="-3"/>
        <w:sz w:val="28"/>
        <w:szCs w:val="28"/>
      </w:rPr>
      <w:t>9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67B01">
    <w:pPr>
      <w:spacing w:before="1" w:line="232" w:lineRule="auto"/>
      <w:ind w:left="3838"/>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30"/>
        <w:sz w:val="28"/>
        <w:szCs w:val="28"/>
      </w:rPr>
      <w:t xml:space="preserve"> </w:t>
    </w:r>
    <w:r>
      <w:rPr>
        <w:rFonts w:ascii="宋体" w:hAnsi="宋体" w:eastAsia="宋体" w:cs="宋体"/>
        <w:spacing w:val="-6"/>
        <w:sz w:val="28"/>
        <w:szCs w:val="28"/>
      </w:rPr>
      <w:t>10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D573E">
    <w:pPr>
      <w:spacing w:line="234" w:lineRule="auto"/>
      <w:ind w:left="3841"/>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30"/>
        <w:sz w:val="28"/>
        <w:szCs w:val="28"/>
      </w:rPr>
      <w:t xml:space="preserve"> </w:t>
    </w:r>
    <w:r>
      <w:rPr>
        <w:rFonts w:ascii="宋体" w:hAnsi="宋体" w:eastAsia="宋体" w:cs="宋体"/>
        <w:spacing w:val="-6"/>
        <w:sz w:val="28"/>
        <w:szCs w:val="28"/>
      </w:rPr>
      <w:t>11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5C59C">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6081573"/>
    <w:rsid w:val="086A1FB2"/>
    <w:rsid w:val="12BB3B36"/>
    <w:rsid w:val="1497412F"/>
    <w:rsid w:val="24066BDB"/>
    <w:rsid w:val="55313209"/>
    <w:rsid w:val="693B41FE"/>
    <w:rsid w:val="762F17C3"/>
    <w:rsid w:val="7D965A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theme" Target="theme/theme1.xml"/><Relationship Id="rId16" Type="http://schemas.openxmlformats.org/officeDocument/2006/relationships/footer" Target="footer11.xml"/><Relationship Id="rId15" Type="http://schemas.openxmlformats.org/officeDocument/2006/relationships/header" Target="header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8112</Words>
  <Characters>8348</Characters>
  <TotalTime>1</TotalTime>
  <ScaleCrop>false</ScaleCrop>
  <LinksUpToDate>false</LinksUpToDate>
  <CharactersWithSpaces>8616</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2026-04-03T13:53:00Z</dcterms:created>
  <dc:creator>微软用户</dc:creator>
  <cp:lastModifiedBy>悟-空</cp:lastModifiedBy>
  <dcterms:modified xsi:type="dcterms:W3CDTF">2026-04-08T02:48:24Z</dcterms:modified>
  <dc:title>新版公文格式变化</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2026-04-08T10:18:41Z</vt:filetime>
  </property>
  <property fmtid="{D5CDD505-2E9C-101B-9397-08002B2CF9AE}" pid="4" name="KSOTemplateDocerSaveRecord">
    <vt:lpwstr>eyJoZGlkIjoiNTU0ZmIwYTQ3NzlmZGUxZmU3Zjk0M2IyZTNmM2IxNjAiLCJ1c2VySWQiOiIxMzY3NjMwNDEzIn0=</vt:lpwstr>
  </property>
  <property fmtid="{D5CDD505-2E9C-101B-9397-08002B2CF9AE}" pid="5" name="KSOProductBuildVer">
    <vt:lpwstr>2052-12.1.0.25225</vt:lpwstr>
  </property>
  <property fmtid="{D5CDD505-2E9C-101B-9397-08002B2CF9AE}" pid="6" name="ICV">
    <vt:lpwstr>4E1D7A33C0C14426B045207FD7BB3DBB_12</vt:lpwstr>
  </property>
</Properties>
</file>